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B3AC8" w14:textId="5B5BF31F" w:rsidR="00E203C2" w:rsidRDefault="00E203C2" w:rsidP="00E203C2">
      <w:bookmarkStart w:id="0" w:name="_GoBack"/>
      <w:bookmarkEnd w:id="0"/>
      <w:r>
        <w:rPr>
          <w:noProof/>
          <w:lang w:eastAsia="en-GB" w:bidi="ar-SA"/>
        </w:rPr>
        <w:drawing>
          <wp:inline distT="0" distB="0" distL="0" distR="0" wp14:anchorId="3C41F8D9" wp14:editId="49F45F12">
            <wp:extent cx="2943225" cy="516479"/>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p>
    <w:p w14:paraId="0E8AC9AD" w14:textId="77777777" w:rsidR="00E203C2" w:rsidRDefault="00E203C2" w:rsidP="00E203C2"/>
    <w:p w14:paraId="530FAB7B" w14:textId="77777777" w:rsidR="00594459" w:rsidRPr="00594459" w:rsidRDefault="00594459" w:rsidP="00594459">
      <w:pPr>
        <w:rPr>
          <w:b/>
          <w:sz w:val="28"/>
          <w:szCs w:val="28"/>
        </w:rPr>
      </w:pPr>
      <w:r w:rsidRPr="00594459">
        <w:rPr>
          <w:b/>
          <w:sz w:val="28"/>
          <w:szCs w:val="28"/>
        </w:rPr>
        <w:t>29 June 2016</w:t>
      </w:r>
    </w:p>
    <w:p w14:paraId="4D5BC191" w14:textId="70AAD911" w:rsidR="00BA24E2" w:rsidRDefault="00594459" w:rsidP="005D61DF">
      <w:pPr>
        <w:rPr>
          <w:b/>
          <w:sz w:val="28"/>
          <w:szCs w:val="28"/>
        </w:rPr>
      </w:pPr>
      <w:r w:rsidRPr="00594459">
        <w:rPr>
          <w:b/>
          <w:sz w:val="28"/>
          <w:szCs w:val="28"/>
        </w:rPr>
        <w:t>[16-16]</w:t>
      </w:r>
    </w:p>
    <w:p w14:paraId="2A649B69" w14:textId="77777777" w:rsidR="00594459" w:rsidRDefault="00594459" w:rsidP="005D61DF">
      <w:pPr>
        <w:rPr>
          <w:b/>
          <w:sz w:val="28"/>
          <w:szCs w:val="28"/>
        </w:rPr>
      </w:pPr>
    </w:p>
    <w:p w14:paraId="73B76D35" w14:textId="77777777" w:rsidR="00594459" w:rsidRPr="0014756C" w:rsidRDefault="00594459" w:rsidP="005D61DF"/>
    <w:p w14:paraId="23A31849" w14:textId="57646404" w:rsidR="0014756C" w:rsidRPr="005D61DF" w:rsidRDefault="0014756C" w:rsidP="005D61DF">
      <w:pPr>
        <w:rPr>
          <w:b/>
          <w:sz w:val="32"/>
          <w:szCs w:val="32"/>
        </w:rPr>
      </w:pPr>
      <w:bookmarkStart w:id="1" w:name="_Toc448745024"/>
      <w:bookmarkStart w:id="2" w:name="_Toc450822830"/>
      <w:r w:rsidRPr="005D61DF">
        <w:rPr>
          <w:b/>
          <w:sz w:val="32"/>
          <w:szCs w:val="32"/>
        </w:rPr>
        <w:t>Draft Assessment Report</w:t>
      </w:r>
      <w:bookmarkEnd w:id="1"/>
      <w:bookmarkEnd w:id="2"/>
      <w:r w:rsidR="00A441B5" w:rsidRPr="005D61DF">
        <w:rPr>
          <w:b/>
          <w:sz w:val="32"/>
          <w:szCs w:val="32"/>
        </w:rPr>
        <w:t xml:space="preserve"> (</w:t>
      </w:r>
      <w:bookmarkStart w:id="3" w:name="_Toc448745025"/>
      <w:bookmarkStart w:id="4" w:name="_Toc450822831"/>
      <w:r w:rsidRPr="005D61DF">
        <w:rPr>
          <w:b/>
          <w:sz w:val="32"/>
          <w:szCs w:val="32"/>
        </w:rPr>
        <w:t>Abandonment</w:t>
      </w:r>
      <w:bookmarkEnd w:id="3"/>
      <w:bookmarkEnd w:id="4"/>
      <w:r w:rsidR="00A441B5" w:rsidRPr="005D61DF">
        <w:rPr>
          <w:sz w:val="32"/>
        </w:rPr>
        <w:t xml:space="preserve">) – </w:t>
      </w:r>
      <w:bookmarkStart w:id="5" w:name="_Toc450822832"/>
      <w:r w:rsidR="007E755C" w:rsidRPr="005D61DF">
        <w:rPr>
          <w:b/>
          <w:sz w:val="32"/>
          <w:szCs w:val="32"/>
        </w:rPr>
        <w:t>Proposal</w:t>
      </w:r>
      <w:r w:rsidR="00D84170" w:rsidRPr="005D61DF">
        <w:rPr>
          <w:b/>
          <w:sz w:val="32"/>
          <w:szCs w:val="32"/>
        </w:rPr>
        <w:t xml:space="preserve"> P298</w:t>
      </w:r>
      <w:bookmarkEnd w:id="5"/>
    </w:p>
    <w:p w14:paraId="26280DCB" w14:textId="6B6FC5A2" w:rsidR="00B2065D" w:rsidRDefault="00B2065D" w:rsidP="00B2065D">
      <w:pPr>
        <w:rPr>
          <w:lang w:bidi="ar-SA"/>
        </w:rPr>
      </w:pPr>
    </w:p>
    <w:p w14:paraId="6E52F13E" w14:textId="1413208A" w:rsidR="0014756C" w:rsidRPr="005D61DF" w:rsidRDefault="0014756C" w:rsidP="005D61DF">
      <w:pPr>
        <w:rPr>
          <w:sz w:val="32"/>
        </w:rPr>
      </w:pPr>
      <w:bookmarkStart w:id="6" w:name="_Toc448745027"/>
      <w:bookmarkStart w:id="7" w:name="_Toc450822833"/>
      <w:r w:rsidRPr="005D61DF">
        <w:rPr>
          <w:sz w:val="32"/>
        </w:rPr>
        <w:t xml:space="preserve">Benzoate </w:t>
      </w:r>
      <w:r w:rsidR="00A441B5">
        <w:rPr>
          <w:sz w:val="32"/>
        </w:rPr>
        <w:t>&amp;</w:t>
      </w:r>
      <w:r w:rsidR="00A441B5" w:rsidRPr="005D61DF">
        <w:rPr>
          <w:sz w:val="32"/>
        </w:rPr>
        <w:t xml:space="preserve"> </w:t>
      </w:r>
      <w:r w:rsidRPr="005D61DF">
        <w:rPr>
          <w:sz w:val="32"/>
        </w:rPr>
        <w:t>Sulphite Permissions in Food</w:t>
      </w:r>
      <w:bookmarkEnd w:id="6"/>
      <w:bookmarkEnd w:id="7"/>
    </w:p>
    <w:p w14:paraId="0D0D21BA" w14:textId="77777777" w:rsidR="00E203C2" w:rsidRPr="00E203C2" w:rsidRDefault="00E203C2" w:rsidP="00E203C2">
      <w:pPr>
        <w:pBdr>
          <w:bottom w:val="single" w:sz="12" w:space="1" w:color="auto"/>
        </w:pBdr>
        <w:spacing w:line="280" w:lineRule="exact"/>
        <w:rPr>
          <w:rFonts w:cs="Arial"/>
          <w:bCs/>
          <w:vanish/>
        </w:rPr>
      </w:pPr>
    </w:p>
    <w:p w14:paraId="4BD38794" w14:textId="77777777" w:rsidR="00E203C2" w:rsidRDefault="00E203C2" w:rsidP="00E203C2"/>
    <w:p w14:paraId="64FDC718" w14:textId="670DD1CD" w:rsidR="00A441B5" w:rsidRPr="003435AD" w:rsidRDefault="00A441B5" w:rsidP="00A441B5">
      <w:pPr>
        <w:widowControl/>
        <w:rPr>
          <w:rFonts w:cs="Arial"/>
          <w:szCs w:val="22"/>
        </w:rPr>
      </w:pPr>
      <w:r>
        <w:t xml:space="preserve">Food Standards Australia New Zealand (FSANZ) </w:t>
      </w:r>
      <w:r w:rsidRPr="001C7577">
        <w:t xml:space="preserve">prepared a </w:t>
      </w:r>
      <w:r>
        <w:t>Proposal</w:t>
      </w:r>
      <w:r w:rsidRPr="001C7577">
        <w:t xml:space="preserve"> </w:t>
      </w:r>
      <w:r>
        <w:t xml:space="preserve">to </w:t>
      </w:r>
      <w:r w:rsidR="003435AD" w:rsidRPr="003435AD">
        <w:rPr>
          <w:rFonts w:cs="Arial"/>
          <w:szCs w:val="22"/>
        </w:rPr>
        <w:t xml:space="preserve">consider the current permissions in the </w:t>
      </w:r>
      <w:r w:rsidR="003435AD" w:rsidRPr="003435AD">
        <w:rPr>
          <w:rFonts w:cs="Arial"/>
          <w:i/>
          <w:iCs/>
          <w:szCs w:val="22"/>
        </w:rPr>
        <w:t xml:space="preserve">Australia New Zealand Food Standards </w:t>
      </w:r>
      <w:r w:rsidR="003435AD" w:rsidRPr="003435AD">
        <w:rPr>
          <w:rFonts w:cs="Arial"/>
          <w:szCs w:val="22"/>
        </w:rPr>
        <w:t>Code for the food additives, benzoates and sulphites</w:t>
      </w:r>
      <w:r w:rsidR="008931FB">
        <w:rPr>
          <w:rFonts w:cs="Arial"/>
          <w:szCs w:val="22"/>
        </w:rPr>
        <w:t>.</w:t>
      </w:r>
    </w:p>
    <w:p w14:paraId="76CBD54F" w14:textId="77777777" w:rsidR="00A441B5" w:rsidRPr="00D33B41" w:rsidRDefault="00A441B5" w:rsidP="00A441B5">
      <w:pPr>
        <w:widowControl/>
      </w:pPr>
    </w:p>
    <w:p w14:paraId="04C31FA1" w14:textId="422C3BEB" w:rsidR="00A441B5" w:rsidRDefault="00A441B5" w:rsidP="00A441B5">
      <w:pPr>
        <w:widowControl/>
      </w:pPr>
      <w:r w:rsidRPr="001C7577">
        <w:t>On</w:t>
      </w:r>
      <w:r>
        <w:t xml:space="preserve"> </w:t>
      </w:r>
      <w:r w:rsidR="003435AD">
        <w:t>3 August 2005</w:t>
      </w:r>
      <w:r w:rsidRPr="001C7577">
        <w:t xml:space="preserve">, FSANZ </w:t>
      </w:r>
      <w:r>
        <w:t xml:space="preserve">sought submissions on an Initial Assessment Report and received </w:t>
      </w:r>
      <w:r w:rsidR="008B67A2">
        <w:t>24</w:t>
      </w:r>
      <w:r>
        <w:t xml:space="preserve"> submissions.</w:t>
      </w:r>
    </w:p>
    <w:p w14:paraId="4CA11491" w14:textId="77777777" w:rsidR="00A441B5" w:rsidRDefault="00A441B5" w:rsidP="00A441B5">
      <w:pPr>
        <w:widowControl/>
      </w:pPr>
    </w:p>
    <w:p w14:paraId="5A9ED78A" w14:textId="77777777" w:rsidR="00A441B5" w:rsidRPr="003A55AA" w:rsidRDefault="00A441B5" w:rsidP="00A441B5">
      <w:pPr>
        <w:widowControl/>
      </w:pPr>
      <w:r>
        <w:t xml:space="preserve">FSANZ </w:t>
      </w:r>
      <w:r w:rsidRPr="008C0FFD">
        <w:t xml:space="preserve">has </w:t>
      </w:r>
      <w:r>
        <w:t xml:space="preserve">decided to </w:t>
      </w:r>
      <w:r w:rsidRPr="008C0FFD">
        <w:t>abandon the Proposal</w:t>
      </w:r>
      <w:r w:rsidDel="00F04251">
        <w:t xml:space="preserve"> </w:t>
      </w:r>
      <w:r>
        <w:t xml:space="preserve">pursuant </w:t>
      </w:r>
      <w:r w:rsidRPr="00AD7E8A">
        <w:t xml:space="preserve">to </w:t>
      </w:r>
      <w:r w:rsidRPr="0066107A">
        <w:t xml:space="preserve">paragraph </w:t>
      </w:r>
      <w:proofErr w:type="gramStart"/>
      <w:r w:rsidRPr="0066107A">
        <w:t>15</w:t>
      </w:r>
      <w:r>
        <w:t>B</w:t>
      </w:r>
      <w:r w:rsidRPr="0066107A">
        <w:t>(</w:t>
      </w:r>
      <w:proofErr w:type="gramEnd"/>
      <w:r w:rsidRPr="0066107A">
        <w:t xml:space="preserve">b) </w:t>
      </w:r>
      <w:r w:rsidRPr="00AD7E8A">
        <w:t xml:space="preserve">of the </w:t>
      </w:r>
      <w:r w:rsidRPr="00AD7E8A">
        <w:rPr>
          <w:i/>
        </w:rPr>
        <w:t xml:space="preserve">Food </w:t>
      </w:r>
      <w:r w:rsidRPr="0012388D">
        <w:rPr>
          <w:i/>
        </w:rPr>
        <w:t>Standards Australia New Zealand Act 1991</w:t>
      </w:r>
      <w:r>
        <w:t xml:space="preserve"> as was in force on 1 July 2007. Information on the reasons for FSANZ’s decision is </w:t>
      </w:r>
      <w:r w:rsidRPr="003A55AA">
        <w:t>contained in this Report.</w:t>
      </w:r>
    </w:p>
    <w:p w14:paraId="1ABFB34F" w14:textId="77777777" w:rsidR="00A441B5" w:rsidRPr="003A55AA" w:rsidRDefault="00A441B5" w:rsidP="00A441B5">
      <w:pPr>
        <w:widowControl/>
      </w:pPr>
    </w:p>
    <w:p w14:paraId="474E9FF0" w14:textId="1AAF46BF" w:rsidR="00A441B5" w:rsidRPr="003A55AA" w:rsidRDefault="00A441B5" w:rsidP="00A441B5">
      <w:pPr>
        <w:widowControl/>
      </w:pPr>
      <w:r>
        <w:t>This decision is not reviewable under section 63 of the FSANZ Act (</w:t>
      </w:r>
      <w:r w:rsidR="00594459">
        <w:t>as was in force prior to 1 </w:t>
      </w:r>
      <w:r>
        <w:t xml:space="preserve">July </w:t>
      </w:r>
      <w:r w:rsidRPr="002C7EC7">
        <w:t>2007</w:t>
      </w:r>
      <w:r>
        <w:t>).</w:t>
      </w:r>
    </w:p>
    <w:p w14:paraId="04AD48AC" w14:textId="77777777" w:rsidR="00A441B5" w:rsidRDefault="00A441B5" w:rsidP="00E203C2"/>
    <w:p w14:paraId="414527B0" w14:textId="77777777" w:rsidR="00A441B5" w:rsidRDefault="00A441B5" w:rsidP="00E203C2"/>
    <w:p w14:paraId="17E2B61F" w14:textId="77777777" w:rsidR="00A441B5" w:rsidRDefault="00A441B5" w:rsidP="00E203C2"/>
    <w:p w14:paraId="4D25B4F4" w14:textId="77777777" w:rsidR="00A441B5" w:rsidRDefault="00A441B5" w:rsidP="00E203C2"/>
    <w:p w14:paraId="3D99C750" w14:textId="77777777" w:rsidR="00A441B5" w:rsidRDefault="00A441B5" w:rsidP="00E203C2"/>
    <w:p w14:paraId="2DBB9317" w14:textId="77777777" w:rsidR="00A441B5" w:rsidRDefault="00A441B5" w:rsidP="00E203C2"/>
    <w:p w14:paraId="41B86A81" w14:textId="77777777" w:rsidR="00A441B5" w:rsidRDefault="00A441B5" w:rsidP="00E203C2"/>
    <w:p w14:paraId="5B90FA3B" w14:textId="77777777" w:rsidR="00A441B5" w:rsidRDefault="00A441B5" w:rsidP="00E203C2"/>
    <w:p w14:paraId="67B99B6B" w14:textId="77777777" w:rsidR="00413CA8" w:rsidRDefault="00413CA8" w:rsidP="00E203C2">
      <w:pPr>
        <w:spacing w:line="280" w:lineRule="exact"/>
        <w:jc w:val="center"/>
        <w:rPr>
          <w:rFonts w:cs="Arial"/>
          <w:bCs/>
          <w:sz w:val="28"/>
          <w:szCs w:val="28"/>
        </w:rPr>
        <w:sectPr w:rsidR="00413CA8" w:rsidSect="00B24855">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426" w:left="1440" w:header="709" w:footer="709" w:gutter="0"/>
          <w:pgNumType w:fmt="lowerRoman" w:start="1"/>
          <w:cols w:space="708"/>
          <w:docGrid w:linePitch="360"/>
        </w:sectPr>
      </w:pPr>
    </w:p>
    <w:p w14:paraId="568C5872" w14:textId="77777777"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14:paraId="612A01ED" w14:textId="77777777" w:rsidR="00562917" w:rsidRDefault="00562917" w:rsidP="00051ED9"/>
    <w:p w14:paraId="7D5F3F00" w14:textId="0802E4EC" w:rsidR="00F97F1C" w:rsidRDefault="00051ED9">
      <w:pPr>
        <w:pStyle w:val="TOC1"/>
        <w:tabs>
          <w:tab w:val="right" w:leader="dot" w:pos="9060"/>
        </w:tabs>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451340581" w:history="1">
        <w:r w:rsidR="00F97F1C" w:rsidRPr="00D25467">
          <w:rPr>
            <w:rStyle w:val="Hyperlink"/>
            <w:noProof/>
          </w:rPr>
          <w:t>Executive summary</w:t>
        </w:r>
        <w:r w:rsidR="00F97F1C">
          <w:rPr>
            <w:noProof/>
            <w:webHidden/>
          </w:rPr>
          <w:tab/>
        </w:r>
        <w:r w:rsidR="00F97F1C">
          <w:rPr>
            <w:noProof/>
            <w:webHidden/>
          </w:rPr>
          <w:fldChar w:fldCharType="begin"/>
        </w:r>
        <w:r w:rsidR="00F97F1C">
          <w:rPr>
            <w:noProof/>
            <w:webHidden/>
          </w:rPr>
          <w:instrText xml:space="preserve"> PAGEREF _Toc451340581 \h </w:instrText>
        </w:r>
        <w:r w:rsidR="00F97F1C">
          <w:rPr>
            <w:noProof/>
            <w:webHidden/>
          </w:rPr>
        </w:r>
        <w:r w:rsidR="00F97F1C">
          <w:rPr>
            <w:noProof/>
            <w:webHidden/>
          </w:rPr>
          <w:fldChar w:fldCharType="separate"/>
        </w:r>
        <w:r w:rsidR="00F466B1">
          <w:rPr>
            <w:noProof/>
            <w:webHidden/>
          </w:rPr>
          <w:t>3</w:t>
        </w:r>
        <w:r w:rsidR="00F97F1C">
          <w:rPr>
            <w:noProof/>
            <w:webHidden/>
          </w:rPr>
          <w:fldChar w:fldCharType="end"/>
        </w:r>
      </w:hyperlink>
    </w:p>
    <w:p w14:paraId="4A00DDBB" w14:textId="7214D792" w:rsidR="00F97F1C" w:rsidRDefault="000D6CA0">
      <w:pPr>
        <w:pStyle w:val="TOC1"/>
        <w:tabs>
          <w:tab w:val="left" w:pos="660"/>
          <w:tab w:val="right" w:leader="dot" w:pos="9060"/>
        </w:tabs>
        <w:rPr>
          <w:rFonts w:eastAsiaTheme="minorEastAsia" w:cstheme="minorBidi"/>
          <w:b w:val="0"/>
          <w:bCs w:val="0"/>
          <w:caps w:val="0"/>
          <w:noProof/>
          <w:sz w:val="22"/>
          <w:szCs w:val="22"/>
          <w:lang w:val="en-NZ" w:eastAsia="en-NZ" w:bidi="ar-SA"/>
        </w:rPr>
      </w:pPr>
      <w:hyperlink w:anchor="_Toc451340582" w:history="1">
        <w:r w:rsidR="00F97F1C" w:rsidRPr="00D25467">
          <w:rPr>
            <w:rStyle w:val="Hyperlink"/>
            <w:noProof/>
          </w:rPr>
          <w:t>1</w:t>
        </w:r>
        <w:r w:rsidR="00F97F1C">
          <w:rPr>
            <w:rFonts w:eastAsiaTheme="minorEastAsia" w:cstheme="minorBidi"/>
            <w:b w:val="0"/>
            <w:bCs w:val="0"/>
            <w:caps w:val="0"/>
            <w:noProof/>
            <w:sz w:val="22"/>
            <w:szCs w:val="22"/>
            <w:lang w:val="en-NZ" w:eastAsia="en-NZ" w:bidi="ar-SA"/>
          </w:rPr>
          <w:tab/>
        </w:r>
        <w:r w:rsidR="00F97F1C" w:rsidRPr="00D25467">
          <w:rPr>
            <w:rStyle w:val="Hyperlink"/>
            <w:noProof/>
          </w:rPr>
          <w:t>Introduction</w:t>
        </w:r>
        <w:r w:rsidR="00F97F1C">
          <w:rPr>
            <w:noProof/>
            <w:webHidden/>
          </w:rPr>
          <w:tab/>
        </w:r>
        <w:r w:rsidR="00F97F1C">
          <w:rPr>
            <w:noProof/>
            <w:webHidden/>
          </w:rPr>
          <w:fldChar w:fldCharType="begin"/>
        </w:r>
        <w:r w:rsidR="00F97F1C">
          <w:rPr>
            <w:noProof/>
            <w:webHidden/>
          </w:rPr>
          <w:instrText xml:space="preserve"> PAGEREF _Toc451340582 \h </w:instrText>
        </w:r>
        <w:r w:rsidR="00F97F1C">
          <w:rPr>
            <w:noProof/>
            <w:webHidden/>
          </w:rPr>
        </w:r>
        <w:r w:rsidR="00F97F1C">
          <w:rPr>
            <w:noProof/>
            <w:webHidden/>
          </w:rPr>
          <w:fldChar w:fldCharType="separate"/>
        </w:r>
        <w:r w:rsidR="00F466B1">
          <w:rPr>
            <w:noProof/>
            <w:webHidden/>
          </w:rPr>
          <w:t>4</w:t>
        </w:r>
        <w:r w:rsidR="00F97F1C">
          <w:rPr>
            <w:noProof/>
            <w:webHidden/>
          </w:rPr>
          <w:fldChar w:fldCharType="end"/>
        </w:r>
      </w:hyperlink>
    </w:p>
    <w:p w14:paraId="1E473D01" w14:textId="249EF1D4" w:rsidR="00F97F1C" w:rsidRDefault="000D6CA0">
      <w:pPr>
        <w:pStyle w:val="TOC2"/>
        <w:tabs>
          <w:tab w:val="left" w:pos="880"/>
          <w:tab w:val="right" w:leader="dot" w:pos="9060"/>
        </w:tabs>
        <w:rPr>
          <w:rFonts w:eastAsiaTheme="minorEastAsia" w:cstheme="minorBidi"/>
          <w:smallCaps w:val="0"/>
          <w:noProof/>
          <w:sz w:val="22"/>
          <w:szCs w:val="22"/>
          <w:lang w:val="en-NZ" w:eastAsia="en-NZ" w:bidi="ar-SA"/>
        </w:rPr>
      </w:pPr>
      <w:hyperlink w:anchor="_Toc451340583" w:history="1">
        <w:r w:rsidR="00F97F1C" w:rsidRPr="00D25467">
          <w:rPr>
            <w:rStyle w:val="Hyperlink"/>
            <w:noProof/>
          </w:rPr>
          <w:t>1.1</w:t>
        </w:r>
        <w:r w:rsidR="00F97F1C">
          <w:rPr>
            <w:rFonts w:eastAsiaTheme="minorEastAsia" w:cstheme="minorBidi"/>
            <w:smallCaps w:val="0"/>
            <w:noProof/>
            <w:sz w:val="22"/>
            <w:szCs w:val="22"/>
            <w:lang w:val="en-NZ" w:eastAsia="en-NZ" w:bidi="ar-SA"/>
          </w:rPr>
          <w:tab/>
        </w:r>
        <w:r w:rsidR="00F97F1C" w:rsidRPr="00D25467">
          <w:rPr>
            <w:rStyle w:val="Hyperlink"/>
            <w:noProof/>
          </w:rPr>
          <w:t>The proposal</w:t>
        </w:r>
        <w:r w:rsidR="00F97F1C">
          <w:rPr>
            <w:noProof/>
            <w:webHidden/>
          </w:rPr>
          <w:tab/>
        </w:r>
        <w:r w:rsidR="00F97F1C">
          <w:rPr>
            <w:noProof/>
            <w:webHidden/>
          </w:rPr>
          <w:fldChar w:fldCharType="begin"/>
        </w:r>
        <w:r w:rsidR="00F97F1C">
          <w:rPr>
            <w:noProof/>
            <w:webHidden/>
          </w:rPr>
          <w:instrText xml:space="preserve"> PAGEREF _Toc451340583 \h </w:instrText>
        </w:r>
        <w:r w:rsidR="00F97F1C">
          <w:rPr>
            <w:noProof/>
            <w:webHidden/>
          </w:rPr>
        </w:r>
        <w:r w:rsidR="00F97F1C">
          <w:rPr>
            <w:noProof/>
            <w:webHidden/>
          </w:rPr>
          <w:fldChar w:fldCharType="separate"/>
        </w:r>
        <w:r w:rsidR="00F466B1">
          <w:rPr>
            <w:noProof/>
            <w:webHidden/>
          </w:rPr>
          <w:t>4</w:t>
        </w:r>
        <w:r w:rsidR="00F97F1C">
          <w:rPr>
            <w:noProof/>
            <w:webHidden/>
          </w:rPr>
          <w:fldChar w:fldCharType="end"/>
        </w:r>
      </w:hyperlink>
    </w:p>
    <w:p w14:paraId="2DFC22AF" w14:textId="00B01A2D" w:rsidR="00F97F1C" w:rsidRDefault="000D6CA0">
      <w:pPr>
        <w:pStyle w:val="TOC2"/>
        <w:tabs>
          <w:tab w:val="left" w:pos="880"/>
          <w:tab w:val="right" w:leader="dot" w:pos="9060"/>
        </w:tabs>
        <w:rPr>
          <w:rFonts w:eastAsiaTheme="minorEastAsia" w:cstheme="minorBidi"/>
          <w:smallCaps w:val="0"/>
          <w:noProof/>
          <w:sz w:val="22"/>
          <w:szCs w:val="22"/>
          <w:lang w:val="en-NZ" w:eastAsia="en-NZ" w:bidi="ar-SA"/>
        </w:rPr>
      </w:pPr>
      <w:hyperlink w:anchor="_Toc451340584" w:history="1">
        <w:r w:rsidR="00F97F1C" w:rsidRPr="00D25467">
          <w:rPr>
            <w:rStyle w:val="Hyperlink"/>
            <w:noProof/>
          </w:rPr>
          <w:t>1.2</w:t>
        </w:r>
        <w:r w:rsidR="00F97F1C">
          <w:rPr>
            <w:rFonts w:eastAsiaTheme="minorEastAsia" w:cstheme="minorBidi"/>
            <w:smallCaps w:val="0"/>
            <w:noProof/>
            <w:sz w:val="22"/>
            <w:szCs w:val="22"/>
            <w:lang w:val="en-NZ" w:eastAsia="en-NZ" w:bidi="ar-SA"/>
          </w:rPr>
          <w:tab/>
        </w:r>
        <w:r w:rsidR="00F97F1C" w:rsidRPr="00D25467">
          <w:rPr>
            <w:rStyle w:val="Hyperlink"/>
            <w:noProof/>
          </w:rPr>
          <w:t>The current standards</w:t>
        </w:r>
        <w:r w:rsidR="00F97F1C">
          <w:rPr>
            <w:noProof/>
            <w:webHidden/>
          </w:rPr>
          <w:tab/>
        </w:r>
        <w:r w:rsidR="00F97F1C">
          <w:rPr>
            <w:noProof/>
            <w:webHidden/>
          </w:rPr>
          <w:fldChar w:fldCharType="begin"/>
        </w:r>
        <w:r w:rsidR="00F97F1C">
          <w:rPr>
            <w:noProof/>
            <w:webHidden/>
          </w:rPr>
          <w:instrText xml:space="preserve"> PAGEREF _Toc451340584 \h </w:instrText>
        </w:r>
        <w:r w:rsidR="00F97F1C">
          <w:rPr>
            <w:noProof/>
            <w:webHidden/>
          </w:rPr>
        </w:r>
        <w:r w:rsidR="00F97F1C">
          <w:rPr>
            <w:noProof/>
            <w:webHidden/>
          </w:rPr>
          <w:fldChar w:fldCharType="separate"/>
        </w:r>
        <w:r w:rsidR="00F466B1">
          <w:rPr>
            <w:noProof/>
            <w:webHidden/>
          </w:rPr>
          <w:t>5</w:t>
        </w:r>
        <w:r w:rsidR="00F97F1C">
          <w:rPr>
            <w:noProof/>
            <w:webHidden/>
          </w:rPr>
          <w:fldChar w:fldCharType="end"/>
        </w:r>
      </w:hyperlink>
    </w:p>
    <w:p w14:paraId="3CCB6CD0" w14:textId="7EE8E0BF" w:rsidR="00F97F1C" w:rsidRDefault="000D6CA0">
      <w:pPr>
        <w:pStyle w:val="TOC2"/>
        <w:tabs>
          <w:tab w:val="left" w:pos="880"/>
          <w:tab w:val="right" w:leader="dot" w:pos="9060"/>
        </w:tabs>
        <w:rPr>
          <w:rFonts w:eastAsiaTheme="minorEastAsia" w:cstheme="minorBidi"/>
          <w:smallCaps w:val="0"/>
          <w:noProof/>
          <w:sz w:val="22"/>
          <w:szCs w:val="22"/>
          <w:lang w:val="en-NZ" w:eastAsia="en-NZ" w:bidi="ar-SA"/>
        </w:rPr>
      </w:pPr>
      <w:hyperlink w:anchor="_Toc451340585" w:history="1">
        <w:r w:rsidR="00F97F1C" w:rsidRPr="00D25467">
          <w:rPr>
            <w:rStyle w:val="Hyperlink"/>
            <w:noProof/>
          </w:rPr>
          <w:t>1.3</w:t>
        </w:r>
        <w:r w:rsidR="00F97F1C">
          <w:rPr>
            <w:rFonts w:eastAsiaTheme="minorEastAsia" w:cstheme="minorBidi"/>
            <w:smallCaps w:val="0"/>
            <w:noProof/>
            <w:sz w:val="22"/>
            <w:szCs w:val="22"/>
            <w:lang w:val="en-NZ" w:eastAsia="en-NZ" w:bidi="ar-SA"/>
          </w:rPr>
          <w:tab/>
        </w:r>
        <w:r w:rsidR="00F97F1C" w:rsidRPr="00D25467">
          <w:rPr>
            <w:rStyle w:val="Hyperlink"/>
            <w:noProof/>
          </w:rPr>
          <w:t>International permissions for sulphites in food</w:t>
        </w:r>
        <w:r w:rsidR="00F97F1C">
          <w:rPr>
            <w:noProof/>
            <w:webHidden/>
          </w:rPr>
          <w:tab/>
        </w:r>
        <w:r w:rsidR="00F97F1C">
          <w:rPr>
            <w:noProof/>
            <w:webHidden/>
          </w:rPr>
          <w:fldChar w:fldCharType="begin"/>
        </w:r>
        <w:r w:rsidR="00F97F1C">
          <w:rPr>
            <w:noProof/>
            <w:webHidden/>
          </w:rPr>
          <w:instrText xml:space="preserve"> PAGEREF _Toc451340585 \h </w:instrText>
        </w:r>
        <w:r w:rsidR="00F97F1C">
          <w:rPr>
            <w:noProof/>
            <w:webHidden/>
          </w:rPr>
        </w:r>
        <w:r w:rsidR="00F97F1C">
          <w:rPr>
            <w:noProof/>
            <w:webHidden/>
          </w:rPr>
          <w:fldChar w:fldCharType="separate"/>
        </w:r>
        <w:r w:rsidR="00F466B1">
          <w:rPr>
            <w:noProof/>
            <w:webHidden/>
          </w:rPr>
          <w:t>5</w:t>
        </w:r>
        <w:r w:rsidR="00F97F1C">
          <w:rPr>
            <w:noProof/>
            <w:webHidden/>
          </w:rPr>
          <w:fldChar w:fldCharType="end"/>
        </w:r>
      </w:hyperlink>
    </w:p>
    <w:p w14:paraId="631A4E36" w14:textId="47030CA1" w:rsidR="00F97F1C" w:rsidRDefault="000D6CA0">
      <w:pPr>
        <w:pStyle w:val="TOC1"/>
        <w:tabs>
          <w:tab w:val="left" w:pos="660"/>
          <w:tab w:val="right" w:leader="dot" w:pos="9060"/>
        </w:tabs>
        <w:rPr>
          <w:rFonts w:eastAsiaTheme="minorEastAsia" w:cstheme="minorBidi"/>
          <w:b w:val="0"/>
          <w:bCs w:val="0"/>
          <w:caps w:val="0"/>
          <w:noProof/>
          <w:sz w:val="22"/>
          <w:szCs w:val="22"/>
          <w:lang w:val="en-NZ" w:eastAsia="en-NZ" w:bidi="ar-SA"/>
        </w:rPr>
      </w:pPr>
      <w:hyperlink w:anchor="_Toc451340586" w:history="1">
        <w:r w:rsidR="00F97F1C" w:rsidRPr="00D25467">
          <w:rPr>
            <w:rStyle w:val="Hyperlink"/>
            <w:noProof/>
          </w:rPr>
          <w:t>2</w:t>
        </w:r>
        <w:r w:rsidR="00F97F1C">
          <w:rPr>
            <w:rFonts w:eastAsiaTheme="minorEastAsia" w:cstheme="minorBidi"/>
            <w:b w:val="0"/>
            <w:bCs w:val="0"/>
            <w:caps w:val="0"/>
            <w:noProof/>
            <w:sz w:val="22"/>
            <w:szCs w:val="22"/>
            <w:lang w:val="en-NZ" w:eastAsia="en-NZ" w:bidi="ar-SA"/>
          </w:rPr>
          <w:tab/>
        </w:r>
        <w:r w:rsidR="00F97F1C" w:rsidRPr="00D25467">
          <w:rPr>
            <w:rStyle w:val="Hyperlink"/>
            <w:noProof/>
          </w:rPr>
          <w:t>Summary of the assessment</w:t>
        </w:r>
        <w:r w:rsidR="00F97F1C">
          <w:rPr>
            <w:noProof/>
            <w:webHidden/>
          </w:rPr>
          <w:tab/>
        </w:r>
        <w:r w:rsidR="00F97F1C">
          <w:rPr>
            <w:noProof/>
            <w:webHidden/>
          </w:rPr>
          <w:fldChar w:fldCharType="begin"/>
        </w:r>
        <w:r w:rsidR="00F97F1C">
          <w:rPr>
            <w:noProof/>
            <w:webHidden/>
          </w:rPr>
          <w:instrText xml:space="preserve"> PAGEREF _Toc451340586 \h </w:instrText>
        </w:r>
        <w:r w:rsidR="00F97F1C">
          <w:rPr>
            <w:noProof/>
            <w:webHidden/>
          </w:rPr>
        </w:r>
        <w:r w:rsidR="00F97F1C">
          <w:rPr>
            <w:noProof/>
            <w:webHidden/>
          </w:rPr>
          <w:fldChar w:fldCharType="separate"/>
        </w:r>
        <w:r w:rsidR="00F466B1">
          <w:rPr>
            <w:noProof/>
            <w:webHidden/>
          </w:rPr>
          <w:t>5</w:t>
        </w:r>
        <w:r w:rsidR="00F97F1C">
          <w:rPr>
            <w:noProof/>
            <w:webHidden/>
          </w:rPr>
          <w:fldChar w:fldCharType="end"/>
        </w:r>
      </w:hyperlink>
    </w:p>
    <w:p w14:paraId="033767FB" w14:textId="5B084A7D" w:rsidR="00F97F1C" w:rsidRDefault="000D6CA0">
      <w:pPr>
        <w:pStyle w:val="TOC2"/>
        <w:tabs>
          <w:tab w:val="left" w:pos="880"/>
          <w:tab w:val="right" w:leader="dot" w:pos="9060"/>
        </w:tabs>
        <w:rPr>
          <w:rFonts w:eastAsiaTheme="minorEastAsia" w:cstheme="minorBidi"/>
          <w:smallCaps w:val="0"/>
          <w:noProof/>
          <w:sz w:val="22"/>
          <w:szCs w:val="22"/>
          <w:lang w:val="en-NZ" w:eastAsia="en-NZ" w:bidi="ar-SA"/>
        </w:rPr>
      </w:pPr>
      <w:hyperlink w:anchor="_Toc451340587" w:history="1">
        <w:r w:rsidR="00F97F1C" w:rsidRPr="00D25467">
          <w:rPr>
            <w:rStyle w:val="Hyperlink"/>
            <w:noProof/>
          </w:rPr>
          <w:t>2.1</w:t>
        </w:r>
        <w:r w:rsidR="00F97F1C">
          <w:rPr>
            <w:rFonts w:eastAsiaTheme="minorEastAsia" w:cstheme="minorBidi"/>
            <w:smallCaps w:val="0"/>
            <w:noProof/>
            <w:sz w:val="22"/>
            <w:szCs w:val="22"/>
            <w:lang w:val="en-NZ" w:eastAsia="en-NZ" w:bidi="ar-SA"/>
          </w:rPr>
          <w:tab/>
        </w:r>
        <w:r w:rsidR="00F97F1C" w:rsidRPr="00D25467">
          <w:rPr>
            <w:rStyle w:val="Hyperlink"/>
            <w:noProof/>
          </w:rPr>
          <w:t>Risk assessment</w:t>
        </w:r>
        <w:r w:rsidR="00F97F1C">
          <w:rPr>
            <w:noProof/>
            <w:webHidden/>
          </w:rPr>
          <w:tab/>
        </w:r>
        <w:r w:rsidR="00F97F1C">
          <w:rPr>
            <w:noProof/>
            <w:webHidden/>
          </w:rPr>
          <w:fldChar w:fldCharType="begin"/>
        </w:r>
        <w:r w:rsidR="00F97F1C">
          <w:rPr>
            <w:noProof/>
            <w:webHidden/>
          </w:rPr>
          <w:instrText xml:space="preserve"> PAGEREF _Toc451340587 \h </w:instrText>
        </w:r>
        <w:r w:rsidR="00F97F1C">
          <w:rPr>
            <w:noProof/>
            <w:webHidden/>
          </w:rPr>
        </w:r>
        <w:r w:rsidR="00F97F1C">
          <w:rPr>
            <w:noProof/>
            <w:webHidden/>
          </w:rPr>
          <w:fldChar w:fldCharType="separate"/>
        </w:r>
        <w:r w:rsidR="00F466B1">
          <w:rPr>
            <w:noProof/>
            <w:webHidden/>
          </w:rPr>
          <w:t>5</w:t>
        </w:r>
        <w:r w:rsidR="00F97F1C">
          <w:rPr>
            <w:noProof/>
            <w:webHidden/>
          </w:rPr>
          <w:fldChar w:fldCharType="end"/>
        </w:r>
      </w:hyperlink>
    </w:p>
    <w:p w14:paraId="7F9CAD0B" w14:textId="681E7A9E"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88" w:history="1">
        <w:r w:rsidR="00F97F1C" w:rsidRPr="00D25467">
          <w:rPr>
            <w:rStyle w:val="Hyperlink"/>
            <w:noProof/>
          </w:rPr>
          <w:t>2.1.1</w:t>
        </w:r>
        <w:r w:rsidR="00F97F1C">
          <w:rPr>
            <w:rFonts w:eastAsiaTheme="minorEastAsia" w:cstheme="minorBidi"/>
            <w:i w:val="0"/>
            <w:iCs w:val="0"/>
            <w:noProof/>
            <w:sz w:val="22"/>
            <w:szCs w:val="22"/>
            <w:lang w:val="en-NZ" w:eastAsia="en-NZ" w:bidi="ar-SA"/>
          </w:rPr>
          <w:tab/>
        </w:r>
        <w:r w:rsidR="00F97F1C" w:rsidRPr="00D25467">
          <w:rPr>
            <w:rStyle w:val="Hyperlink"/>
            <w:noProof/>
          </w:rPr>
          <w:t>Use of benzoates and sulphites</w:t>
        </w:r>
        <w:r w:rsidR="00F97F1C">
          <w:rPr>
            <w:noProof/>
            <w:webHidden/>
          </w:rPr>
          <w:tab/>
        </w:r>
        <w:r w:rsidR="00F97F1C">
          <w:rPr>
            <w:noProof/>
            <w:webHidden/>
          </w:rPr>
          <w:fldChar w:fldCharType="begin"/>
        </w:r>
        <w:r w:rsidR="00F97F1C">
          <w:rPr>
            <w:noProof/>
            <w:webHidden/>
          </w:rPr>
          <w:instrText xml:space="preserve"> PAGEREF _Toc451340588 \h </w:instrText>
        </w:r>
        <w:r w:rsidR="00F97F1C">
          <w:rPr>
            <w:noProof/>
            <w:webHidden/>
          </w:rPr>
        </w:r>
        <w:r w:rsidR="00F97F1C">
          <w:rPr>
            <w:noProof/>
            <w:webHidden/>
          </w:rPr>
          <w:fldChar w:fldCharType="separate"/>
        </w:r>
        <w:r w:rsidR="00F466B1">
          <w:rPr>
            <w:noProof/>
            <w:webHidden/>
          </w:rPr>
          <w:t>5</w:t>
        </w:r>
        <w:r w:rsidR="00F97F1C">
          <w:rPr>
            <w:noProof/>
            <w:webHidden/>
          </w:rPr>
          <w:fldChar w:fldCharType="end"/>
        </w:r>
      </w:hyperlink>
    </w:p>
    <w:p w14:paraId="38A78D4A" w14:textId="7452FE19"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89" w:history="1">
        <w:r w:rsidR="00F97F1C" w:rsidRPr="00D25467">
          <w:rPr>
            <w:rStyle w:val="Hyperlink"/>
            <w:noProof/>
          </w:rPr>
          <w:t>2.1.2</w:t>
        </w:r>
        <w:r w:rsidR="00F97F1C">
          <w:rPr>
            <w:rFonts w:eastAsiaTheme="minorEastAsia" w:cstheme="minorBidi"/>
            <w:i w:val="0"/>
            <w:iCs w:val="0"/>
            <w:noProof/>
            <w:sz w:val="22"/>
            <w:szCs w:val="22"/>
            <w:lang w:val="en-NZ" w:eastAsia="en-NZ" w:bidi="ar-SA"/>
          </w:rPr>
          <w:tab/>
        </w:r>
        <w:r w:rsidR="00F97F1C" w:rsidRPr="00D25467">
          <w:rPr>
            <w:rStyle w:val="Hyperlink"/>
            <w:noProof/>
          </w:rPr>
          <w:t>Health-based guidance values</w:t>
        </w:r>
        <w:r w:rsidR="00F97F1C">
          <w:rPr>
            <w:noProof/>
            <w:webHidden/>
          </w:rPr>
          <w:tab/>
        </w:r>
        <w:r w:rsidR="00F97F1C">
          <w:rPr>
            <w:noProof/>
            <w:webHidden/>
          </w:rPr>
          <w:fldChar w:fldCharType="begin"/>
        </w:r>
        <w:r w:rsidR="00F97F1C">
          <w:rPr>
            <w:noProof/>
            <w:webHidden/>
          </w:rPr>
          <w:instrText xml:space="preserve"> PAGEREF _Toc451340589 \h </w:instrText>
        </w:r>
        <w:r w:rsidR="00F97F1C">
          <w:rPr>
            <w:noProof/>
            <w:webHidden/>
          </w:rPr>
        </w:r>
        <w:r w:rsidR="00F97F1C">
          <w:rPr>
            <w:noProof/>
            <w:webHidden/>
          </w:rPr>
          <w:fldChar w:fldCharType="separate"/>
        </w:r>
        <w:r w:rsidR="00F466B1">
          <w:rPr>
            <w:noProof/>
            <w:webHidden/>
          </w:rPr>
          <w:t>6</w:t>
        </w:r>
        <w:r w:rsidR="00F97F1C">
          <w:rPr>
            <w:noProof/>
            <w:webHidden/>
          </w:rPr>
          <w:fldChar w:fldCharType="end"/>
        </w:r>
      </w:hyperlink>
    </w:p>
    <w:p w14:paraId="0EE417E4" w14:textId="2EEB0B34"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0" w:history="1">
        <w:r w:rsidR="00F97F1C" w:rsidRPr="00D25467">
          <w:rPr>
            <w:rStyle w:val="Hyperlink"/>
            <w:noProof/>
          </w:rPr>
          <w:t>2.1.3</w:t>
        </w:r>
        <w:r w:rsidR="00F97F1C">
          <w:rPr>
            <w:rFonts w:eastAsiaTheme="minorEastAsia" w:cstheme="minorBidi"/>
            <w:i w:val="0"/>
            <w:iCs w:val="0"/>
            <w:noProof/>
            <w:sz w:val="22"/>
            <w:szCs w:val="22"/>
            <w:lang w:val="en-NZ" w:eastAsia="en-NZ" w:bidi="ar-SA"/>
          </w:rPr>
          <w:tab/>
        </w:r>
        <w:r w:rsidR="00F97F1C" w:rsidRPr="00D25467">
          <w:rPr>
            <w:rStyle w:val="Hyperlink"/>
            <w:noProof/>
          </w:rPr>
          <w:t>Dietary exposure estimates</w:t>
        </w:r>
        <w:r w:rsidR="00F97F1C">
          <w:rPr>
            <w:noProof/>
            <w:webHidden/>
          </w:rPr>
          <w:tab/>
        </w:r>
        <w:r w:rsidR="00F97F1C">
          <w:rPr>
            <w:noProof/>
            <w:webHidden/>
          </w:rPr>
          <w:fldChar w:fldCharType="begin"/>
        </w:r>
        <w:r w:rsidR="00F97F1C">
          <w:rPr>
            <w:noProof/>
            <w:webHidden/>
          </w:rPr>
          <w:instrText xml:space="preserve"> PAGEREF _Toc451340590 \h </w:instrText>
        </w:r>
        <w:r w:rsidR="00F97F1C">
          <w:rPr>
            <w:noProof/>
            <w:webHidden/>
          </w:rPr>
        </w:r>
        <w:r w:rsidR="00F97F1C">
          <w:rPr>
            <w:noProof/>
            <w:webHidden/>
          </w:rPr>
          <w:fldChar w:fldCharType="separate"/>
        </w:r>
        <w:r w:rsidR="00F466B1">
          <w:rPr>
            <w:noProof/>
            <w:webHidden/>
          </w:rPr>
          <w:t>6</w:t>
        </w:r>
        <w:r w:rsidR="00F97F1C">
          <w:rPr>
            <w:noProof/>
            <w:webHidden/>
          </w:rPr>
          <w:fldChar w:fldCharType="end"/>
        </w:r>
      </w:hyperlink>
    </w:p>
    <w:p w14:paraId="5F754EA8" w14:textId="0A19A8FA"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1" w:history="1">
        <w:r w:rsidR="00F97F1C" w:rsidRPr="00D25467">
          <w:rPr>
            <w:rStyle w:val="Hyperlink"/>
            <w:noProof/>
          </w:rPr>
          <w:t>2.1.4</w:t>
        </w:r>
        <w:r w:rsidR="00F97F1C">
          <w:rPr>
            <w:rFonts w:eastAsiaTheme="minorEastAsia" w:cstheme="minorBidi"/>
            <w:i w:val="0"/>
            <w:iCs w:val="0"/>
            <w:noProof/>
            <w:sz w:val="22"/>
            <w:szCs w:val="22"/>
            <w:lang w:val="en-NZ" w:eastAsia="en-NZ" w:bidi="ar-SA"/>
          </w:rPr>
          <w:tab/>
        </w:r>
        <w:r w:rsidR="00F97F1C" w:rsidRPr="00D25467">
          <w:rPr>
            <w:rStyle w:val="Hyperlink"/>
            <w:noProof/>
          </w:rPr>
          <w:t>Chemical hazard assessment</w:t>
        </w:r>
        <w:r w:rsidR="00F97F1C">
          <w:rPr>
            <w:noProof/>
            <w:webHidden/>
          </w:rPr>
          <w:tab/>
        </w:r>
        <w:r w:rsidR="00F97F1C">
          <w:rPr>
            <w:noProof/>
            <w:webHidden/>
          </w:rPr>
          <w:fldChar w:fldCharType="begin"/>
        </w:r>
        <w:r w:rsidR="00F97F1C">
          <w:rPr>
            <w:noProof/>
            <w:webHidden/>
          </w:rPr>
          <w:instrText xml:space="preserve"> PAGEREF _Toc451340591 \h </w:instrText>
        </w:r>
        <w:r w:rsidR="00F97F1C">
          <w:rPr>
            <w:noProof/>
            <w:webHidden/>
          </w:rPr>
        </w:r>
        <w:r w:rsidR="00F97F1C">
          <w:rPr>
            <w:noProof/>
            <w:webHidden/>
          </w:rPr>
          <w:fldChar w:fldCharType="separate"/>
        </w:r>
        <w:r w:rsidR="00F466B1">
          <w:rPr>
            <w:noProof/>
            <w:webHidden/>
          </w:rPr>
          <w:t>7</w:t>
        </w:r>
        <w:r w:rsidR="00F97F1C">
          <w:rPr>
            <w:noProof/>
            <w:webHidden/>
          </w:rPr>
          <w:fldChar w:fldCharType="end"/>
        </w:r>
      </w:hyperlink>
    </w:p>
    <w:p w14:paraId="32577227" w14:textId="4A8CE5E1"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2" w:history="1">
        <w:r w:rsidR="00F97F1C" w:rsidRPr="00D25467">
          <w:rPr>
            <w:rStyle w:val="Hyperlink"/>
            <w:noProof/>
          </w:rPr>
          <w:t>2.1.5</w:t>
        </w:r>
        <w:r w:rsidR="00F97F1C">
          <w:rPr>
            <w:rFonts w:eastAsiaTheme="minorEastAsia" w:cstheme="minorBidi"/>
            <w:i w:val="0"/>
            <w:iCs w:val="0"/>
            <w:noProof/>
            <w:sz w:val="22"/>
            <w:szCs w:val="22"/>
            <w:lang w:val="en-NZ" w:eastAsia="en-NZ" w:bidi="ar-SA"/>
          </w:rPr>
          <w:tab/>
        </w:r>
        <w:r w:rsidR="00F97F1C" w:rsidRPr="00D25467">
          <w:rPr>
            <w:rStyle w:val="Hyperlink"/>
            <w:noProof/>
          </w:rPr>
          <w:t>Uncertainties and assumptions in the hazard characterisation</w:t>
        </w:r>
        <w:r w:rsidR="00F97F1C">
          <w:rPr>
            <w:noProof/>
            <w:webHidden/>
          </w:rPr>
          <w:tab/>
        </w:r>
        <w:r w:rsidR="00F97F1C">
          <w:rPr>
            <w:noProof/>
            <w:webHidden/>
          </w:rPr>
          <w:fldChar w:fldCharType="begin"/>
        </w:r>
        <w:r w:rsidR="00F97F1C">
          <w:rPr>
            <w:noProof/>
            <w:webHidden/>
          </w:rPr>
          <w:instrText xml:space="preserve"> PAGEREF _Toc451340592 \h </w:instrText>
        </w:r>
        <w:r w:rsidR="00F97F1C">
          <w:rPr>
            <w:noProof/>
            <w:webHidden/>
          </w:rPr>
        </w:r>
        <w:r w:rsidR="00F97F1C">
          <w:rPr>
            <w:noProof/>
            <w:webHidden/>
          </w:rPr>
          <w:fldChar w:fldCharType="separate"/>
        </w:r>
        <w:r w:rsidR="00F466B1">
          <w:rPr>
            <w:noProof/>
            <w:webHidden/>
          </w:rPr>
          <w:t>8</w:t>
        </w:r>
        <w:r w:rsidR="00F97F1C">
          <w:rPr>
            <w:noProof/>
            <w:webHidden/>
          </w:rPr>
          <w:fldChar w:fldCharType="end"/>
        </w:r>
      </w:hyperlink>
    </w:p>
    <w:p w14:paraId="5FC303F4" w14:textId="289D1E0C"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3" w:history="1">
        <w:r w:rsidR="00F97F1C" w:rsidRPr="00D25467">
          <w:rPr>
            <w:rStyle w:val="Hyperlink"/>
            <w:noProof/>
          </w:rPr>
          <w:t>2.1.6</w:t>
        </w:r>
        <w:r w:rsidR="00F97F1C">
          <w:rPr>
            <w:rFonts w:eastAsiaTheme="minorEastAsia" w:cstheme="minorBidi"/>
            <w:i w:val="0"/>
            <w:iCs w:val="0"/>
            <w:noProof/>
            <w:sz w:val="22"/>
            <w:szCs w:val="22"/>
            <w:lang w:val="en-NZ" w:eastAsia="en-NZ" w:bidi="ar-SA"/>
          </w:rPr>
          <w:tab/>
        </w:r>
        <w:r w:rsidR="00F97F1C" w:rsidRPr="00D25467">
          <w:rPr>
            <w:rStyle w:val="Hyperlink"/>
            <w:noProof/>
          </w:rPr>
          <w:t>Risk characterisation</w:t>
        </w:r>
        <w:r w:rsidR="00F97F1C">
          <w:rPr>
            <w:noProof/>
            <w:webHidden/>
          </w:rPr>
          <w:tab/>
        </w:r>
        <w:r w:rsidR="00F97F1C">
          <w:rPr>
            <w:noProof/>
            <w:webHidden/>
          </w:rPr>
          <w:fldChar w:fldCharType="begin"/>
        </w:r>
        <w:r w:rsidR="00F97F1C">
          <w:rPr>
            <w:noProof/>
            <w:webHidden/>
          </w:rPr>
          <w:instrText xml:space="preserve"> PAGEREF _Toc451340593 \h </w:instrText>
        </w:r>
        <w:r w:rsidR="00F97F1C">
          <w:rPr>
            <w:noProof/>
            <w:webHidden/>
          </w:rPr>
        </w:r>
        <w:r w:rsidR="00F97F1C">
          <w:rPr>
            <w:noProof/>
            <w:webHidden/>
          </w:rPr>
          <w:fldChar w:fldCharType="separate"/>
        </w:r>
        <w:r w:rsidR="00F466B1">
          <w:rPr>
            <w:noProof/>
            <w:webHidden/>
          </w:rPr>
          <w:t>8</w:t>
        </w:r>
        <w:r w:rsidR="00F97F1C">
          <w:rPr>
            <w:noProof/>
            <w:webHidden/>
          </w:rPr>
          <w:fldChar w:fldCharType="end"/>
        </w:r>
      </w:hyperlink>
    </w:p>
    <w:p w14:paraId="577B93E9" w14:textId="2E967473"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4" w:history="1">
        <w:r w:rsidR="00F97F1C" w:rsidRPr="00D25467">
          <w:rPr>
            <w:rStyle w:val="Hyperlink"/>
            <w:noProof/>
          </w:rPr>
          <w:t>2.1.7</w:t>
        </w:r>
        <w:r w:rsidR="00F97F1C">
          <w:rPr>
            <w:rFonts w:eastAsiaTheme="minorEastAsia" w:cstheme="minorBidi"/>
            <w:i w:val="0"/>
            <w:iCs w:val="0"/>
            <w:noProof/>
            <w:sz w:val="22"/>
            <w:szCs w:val="22"/>
            <w:lang w:val="en-NZ" w:eastAsia="en-NZ" w:bidi="ar-SA"/>
          </w:rPr>
          <w:tab/>
        </w:r>
        <w:r w:rsidR="00F97F1C" w:rsidRPr="00D25467">
          <w:rPr>
            <w:rStyle w:val="Hyperlink"/>
            <w:noProof/>
          </w:rPr>
          <w:t>EFSA Scientific Opinion on Sulphites</w:t>
        </w:r>
        <w:r w:rsidR="00F97F1C">
          <w:rPr>
            <w:noProof/>
            <w:webHidden/>
          </w:rPr>
          <w:tab/>
        </w:r>
        <w:r w:rsidR="00F97F1C">
          <w:rPr>
            <w:noProof/>
            <w:webHidden/>
          </w:rPr>
          <w:fldChar w:fldCharType="begin"/>
        </w:r>
        <w:r w:rsidR="00F97F1C">
          <w:rPr>
            <w:noProof/>
            <w:webHidden/>
          </w:rPr>
          <w:instrText xml:space="preserve"> PAGEREF _Toc451340594 \h </w:instrText>
        </w:r>
        <w:r w:rsidR="00F97F1C">
          <w:rPr>
            <w:noProof/>
            <w:webHidden/>
          </w:rPr>
        </w:r>
        <w:r w:rsidR="00F97F1C">
          <w:rPr>
            <w:noProof/>
            <w:webHidden/>
          </w:rPr>
          <w:fldChar w:fldCharType="separate"/>
        </w:r>
        <w:r w:rsidR="00F466B1">
          <w:rPr>
            <w:noProof/>
            <w:webHidden/>
          </w:rPr>
          <w:t>8</w:t>
        </w:r>
        <w:r w:rsidR="00F97F1C">
          <w:rPr>
            <w:noProof/>
            <w:webHidden/>
          </w:rPr>
          <w:fldChar w:fldCharType="end"/>
        </w:r>
      </w:hyperlink>
    </w:p>
    <w:p w14:paraId="3AE63D8B" w14:textId="5CFE1B32" w:rsidR="00F97F1C" w:rsidRDefault="000D6CA0">
      <w:pPr>
        <w:pStyle w:val="TOC2"/>
        <w:tabs>
          <w:tab w:val="left" w:pos="880"/>
          <w:tab w:val="right" w:leader="dot" w:pos="9060"/>
        </w:tabs>
        <w:rPr>
          <w:rFonts w:eastAsiaTheme="minorEastAsia" w:cstheme="minorBidi"/>
          <w:smallCaps w:val="0"/>
          <w:noProof/>
          <w:sz w:val="22"/>
          <w:szCs w:val="22"/>
          <w:lang w:val="en-NZ" w:eastAsia="en-NZ" w:bidi="ar-SA"/>
        </w:rPr>
      </w:pPr>
      <w:hyperlink w:anchor="_Toc451340595" w:history="1">
        <w:r w:rsidR="00F97F1C" w:rsidRPr="00D25467">
          <w:rPr>
            <w:rStyle w:val="Hyperlink"/>
            <w:noProof/>
          </w:rPr>
          <w:t>2.2</w:t>
        </w:r>
        <w:r w:rsidR="00F97F1C">
          <w:rPr>
            <w:rFonts w:eastAsiaTheme="minorEastAsia" w:cstheme="minorBidi"/>
            <w:smallCaps w:val="0"/>
            <w:noProof/>
            <w:sz w:val="22"/>
            <w:szCs w:val="22"/>
            <w:lang w:val="en-NZ" w:eastAsia="en-NZ" w:bidi="ar-SA"/>
          </w:rPr>
          <w:tab/>
        </w:r>
        <w:r w:rsidR="00F97F1C" w:rsidRPr="00D25467">
          <w:rPr>
            <w:rStyle w:val="Hyperlink"/>
            <w:noProof/>
          </w:rPr>
          <w:t>Risk management</w:t>
        </w:r>
        <w:r w:rsidR="00F97F1C">
          <w:rPr>
            <w:noProof/>
            <w:webHidden/>
          </w:rPr>
          <w:tab/>
        </w:r>
        <w:r w:rsidR="00F97F1C">
          <w:rPr>
            <w:noProof/>
            <w:webHidden/>
          </w:rPr>
          <w:fldChar w:fldCharType="begin"/>
        </w:r>
        <w:r w:rsidR="00F97F1C">
          <w:rPr>
            <w:noProof/>
            <w:webHidden/>
          </w:rPr>
          <w:instrText xml:space="preserve"> PAGEREF _Toc451340595 \h </w:instrText>
        </w:r>
        <w:r w:rsidR="00F97F1C">
          <w:rPr>
            <w:noProof/>
            <w:webHidden/>
          </w:rPr>
        </w:r>
        <w:r w:rsidR="00F97F1C">
          <w:rPr>
            <w:noProof/>
            <w:webHidden/>
          </w:rPr>
          <w:fldChar w:fldCharType="separate"/>
        </w:r>
        <w:r w:rsidR="00F466B1">
          <w:rPr>
            <w:noProof/>
            <w:webHidden/>
          </w:rPr>
          <w:t>8</w:t>
        </w:r>
        <w:r w:rsidR="00F97F1C">
          <w:rPr>
            <w:noProof/>
            <w:webHidden/>
          </w:rPr>
          <w:fldChar w:fldCharType="end"/>
        </w:r>
      </w:hyperlink>
    </w:p>
    <w:p w14:paraId="2DD3C68D" w14:textId="1B662894"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6" w:history="1">
        <w:r w:rsidR="00F97F1C" w:rsidRPr="00D25467">
          <w:rPr>
            <w:rStyle w:val="Hyperlink"/>
            <w:noProof/>
          </w:rPr>
          <w:t>2.2.1</w:t>
        </w:r>
        <w:r w:rsidR="00F97F1C">
          <w:rPr>
            <w:rFonts w:eastAsiaTheme="minorEastAsia" w:cstheme="minorBidi"/>
            <w:i w:val="0"/>
            <w:iCs w:val="0"/>
            <w:noProof/>
            <w:sz w:val="22"/>
            <w:szCs w:val="22"/>
            <w:lang w:val="en-NZ" w:eastAsia="en-NZ" w:bidi="ar-SA"/>
          </w:rPr>
          <w:tab/>
        </w:r>
        <w:r w:rsidR="00F97F1C" w:rsidRPr="00D25467">
          <w:rPr>
            <w:rStyle w:val="Hyperlink"/>
            <w:noProof/>
          </w:rPr>
          <w:t>General approach to risk management of food additives</w:t>
        </w:r>
        <w:r w:rsidR="00F97F1C">
          <w:rPr>
            <w:noProof/>
            <w:webHidden/>
          </w:rPr>
          <w:tab/>
        </w:r>
        <w:r w:rsidR="00F97F1C">
          <w:rPr>
            <w:noProof/>
            <w:webHidden/>
          </w:rPr>
          <w:fldChar w:fldCharType="begin"/>
        </w:r>
        <w:r w:rsidR="00F97F1C">
          <w:rPr>
            <w:noProof/>
            <w:webHidden/>
          </w:rPr>
          <w:instrText xml:space="preserve"> PAGEREF _Toc451340596 \h </w:instrText>
        </w:r>
        <w:r w:rsidR="00F97F1C">
          <w:rPr>
            <w:noProof/>
            <w:webHidden/>
          </w:rPr>
        </w:r>
        <w:r w:rsidR="00F97F1C">
          <w:rPr>
            <w:noProof/>
            <w:webHidden/>
          </w:rPr>
          <w:fldChar w:fldCharType="separate"/>
        </w:r>
        <w:r w:rsidR="00F466B1">
          <w:rPr>
            <w:noProof/>
            <w:webHidden/>
          </w:rPr>
          <w:t>8</w:t>
        </w:r>
        <w:r w:rsidR="00F97F1C">
          <w:rPr>
            <w:noProof/>
            <w:webHidden/>
          </w:rPr>
          <w:fldChar w:fldCharType="end"/>
        </w:r>
      </w:hyperlink>
    </w:p>
    <w:p w14:paraId="3074ECE2" w14:textId="1A5BCFD8"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7" w:history="1">
        <w:r w:rsidR="00F97F1C" w:rsidRPr="00D25467">
          <w:rPr>
            <w:rStyle w:val="Hyperlink"/>
            <w:noProof/>
          </w:rPr>
          <w:t>2.2.2</w:t>
        </w:r>
        <w:r w:rsidR="00F97F1C">
          <w:rPr>
            <w:rFonts w:eastAsiaTheme="minorEastAsia" w:cstheme="minorBidi"/>
            <w:i w:val="0"/>
            <w:iCs w:val="0"/>
            <w:noProof/>
            <w:sz w:val="22"/>
            <w:szCs w:val="22"/>
            <w:lang w:val="en-NZ" w:eastAsia="en-NZ" w:bidi="ar-SA"/>
          </w:rPr>
          <w:tab/>
        </w:r>
        <w:r w:rsidR="00F97F1C" w:rsidRPr="00D25467">
          <w:rPr>
            <w:rStyle w:val="Hyperlink"/>
            <w:noProof/>
          </w:rPr>
          <w:t>Risk management approach for benzoates</w:t>
        </w:r>
        <w:r w:rsidR="00F97F1C">
          <w:rPr>
            <w:noProof/>
            <w:webHidden/>
          </w:rPr>
          <w:tab/>
        </w:r>
        <w:r w:rsidR="00F97F1C">
          <w:rPr>
            <w:noProof/>
            <w:webHidden/>
          </w:rPr>
          <w:fldChar w:fldCharType="begin"/>
        </w:r>
        <w:r w:rsidR="00F97F1C">
          <w:rPr>
            <w:noProof/>
            <w:webHidden/>
          </w:rPr>
          <w:instrText xml:space="preserve"> PAGEREF _Toc451340597 \h </w:instrText>
        </w:r>
        <w:r w:rsidR="00F97F1C">
          <w:rPr>
            <w:noProof/>
            <w:webHidden/>
          </w:rPr>
        </w:r>
        <w:r w:rsidR="00F97F1C">
          <w:rPr>
            <w:noProof/>
            <w:webHidden/>
          </w:rPr>
          <w:fldChar w:fldCharType="separate"/>
        </w:r>
        <w:r w:rsidR="00F466B1">
          <w:rPr>
            <w:noProof/>
            <w:webHidden/>
          </w:rPr>
          <w:t>9</w:t>
        </w:r>
        <w:r w:rsidR="00F97F1C">
          <w:rPr>
            <w:noProof/>
            <w:webHidden/>
          </w:rPr>
          <w:fldChar w:fldCharType="end"/>
        </w:r>
      </w:hyperlink>
    </w:p>
    <w:p w14:paraId="10B075E4" w14:textId="6E5A995C"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8" w:history="1">
        <w:r w:rsidR="00F97F1C" w:rsidRPr="00D25467">
          <w:rPr>
            <w:rStyle w:val="Hyperlink"/>
            <w:noProof/>
          </w:rPr>
          <w:t>2.2.3</w:t>
        </w:r>
        <w:r w:rsidR="00F97F1C">
          <w:rPr>
            <w:rFonts w:eastAsiaTheme="minorEastAsia" w:cstheme="minorBidi"/>
            <w:i w:val="0"/>
            <w:iCs w:val="0"/>
            <w:noProof/>
            <w:sz w:val="22"/>
            <w:szCs w:val="22"/>
            <w:lang w:val="en-NZ" w:eastAsia="en-NZ" w:bidi="ar-SA"/>
          </w:rPr>
          <w:tab/>
        </w:r>
        <w:r w:rsidR="00F97F1C" w:rsidRPr="00D25467">
          <w:rPr>
            <w:rStyle w:val="Hyperlink"/>
            <w:noProof/>
          </w:rPr>
          <w:t>Risk management considerations for sulphites</w:t>
        </w:r>
        <w:r w:rsidR="00F97F1C">
          <w:rPr>
            <w:noProof/>
            <w:webHidden/>
          </w:rPr>
          <w:tab/>
        </w:r>
        <w:r w:rsidR="00F97F1C">
          <w:rPr>
            <w:noProof/>
            <w:webHidden/>
          </w:rPr>
          <w:fldChar w:fldCharType="begin"/>
        </w:r>
        <w:r w:rsidR="00F97F1C">
          <w:rPr>
            <w:noProof/>
            <w:webHidden/>
          </w:rPr>
          <w:instrText xml:space="preserve"> PAGEREF _Toc451340598 \h </w:instrText>
        </w:r>
        <w:r w:rsidR="00F97F1C">
          <w:rPr>
            <w:noProof/>
            <w:webHidden/>
          </w:rPr>
        </w:r>
        <w:r w:rsidR="00F97F1C">
          <w:rPr>
            <w:noProof/>
            <w:webHidden/>
          </w:rPr>
          <w:fldChar w:fldCharType="separate"/>
        </w:r>
        <w:r w:rsidR="00F466B1">
          <w:rPr>
            <w:noProof/>
            <w:webHidden/>
          </w:rPr>
          <w:t>9</w:t>
        </w:r>
        <w:r w:rsidR="00F97F1C">
          <w:rPr>
            <w:noProof/>
            <w:webHidden/>
          </w:rPr>
          <w:fldChar w:fldCharType="end"/>
        </w:r>
      </w:hyperlink>
    </w:p>
    <w:p w14:paraId="5CA772DC" w14:textId="24BA5AE1"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599" w:history="1">
        <w:r w:rsidR="00F97F1C" w:rsidRPr="00D25467">
          <w:rPr>
            <w:rStyle w:val="Hyperlink"/>
            <w:noProof/>
          </w:rPr>
          <w:t>2.2.4</w:t>
        </w:r>
        <w:r w:rsidR="00F97F1C">
          <w:rPr>
            <w:rFonts w:eastAsiaTheme="minorEastAsia" w:cstheme="minorBidi"/>
            <w:i w:val="0"/>
            <w:iCs w:val="0"/>
            <w:noProof/>
            <w:sz w:val="22"/>
            <w:szCs w:val="22"/>
            <w:lang w:val="en-NZ" w:eastAsia="en-NZ" w:bidi="ar-SA"/>
          </w:rPr>
          <w:tab/>
        </w:r>
        <w:r w:rsidR="00F97F1C" w:rsidRPr="00D25467">
          <w:rPr>
            <w:rStyle w:val="Hyperlink"/>
            <w:noProof/>
          </w:rPr>
          <w:t>Summary of issues raised in submissions</w:t>
        </w:r>
        <w:r w:rsidR="00F97F1C">
          <w:rPr>
            <w:noProof/>
            <w:webHidden/>
          </w:rPr>
          <w:tab/>
        </w:r>
        <w:r w:rsidR="00F97F1C">
          <w:rPr>
            <w:noProof/>
            <w:webHidden/>
          </w:rPr>
          <w:fldChar w:fldCharType="begin"/>
        </w:r>
        <w:r w:rsidR="00F97F1C">
          <w:rPr>
            <w:noProof/>
            <w:webHidden/>
          </w:rPr>
          <w:instrText xml:space="preserve"> PAGEREF _Toc451340599 \h </w:instrText>
        </w:r>
        <w:r w:rsidR="00F97F1C">
          <w:rPr>
            <w:noProof/>
            <w:webHidden/>
          </w:rPr>
        </w:r>
        <w:r w:rsidR="00F97F1C">
          <w:rPr>
            <w:noProof/>
            <w:webHidden/>
          </w:rPr>
          <w:fldChar w:fldCharType="separate"/>
        </w:r>
        <w:r w:rsidR="00F466B1">
          <w:rPr>
            <w:noProof/>
            <w:webHidden/>
          </w:rPr>
          <w:t>9</w:t>
        </w:r>
        <w:r w:rsidR="00F97F1C">
          <w:rPr>
            <w:noProof/>
            <w:webHidden/>
          </w:rPr>
          <w:fldChar w:fldCharType="end"/>
        </w:r>
      </w:hyperlink>
    </w:p>
    <w:p w14:paraId="1EEE4342" w14:textId="1C3D3857"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600" w:history="1">
        <w:r w:rsidR="00F97F1C" w:rsidRPr="00D25467">
          <w:rPr>
            <w:rStyle w:val="Hyperlink"/>
            <w:noProof/>
          </w:rPr>
          <w:t>2.2.5</w:t>
        </w:r>
        <w:r w:rsidR="00F97F1C">
          <w:rPr>
            <w:rFonts w:eastAsiaTheme="minorEastAsia" w:cstheme="minorBidi"/>
            <w:i w:val="0"/>
            <w:iCs w:val="0"/>
            <w:noProof/>
            <w:sz w:val="22"/>
            <w:szCs w:val="22"/>
            <w:lang w:val="en-NZ" w:eastAsia="en-NZ" w:bidi="ar-SA"/>
          </w:rPr>
          <w:tab/>
        </w:r>
        <w:r w:rsidR="00F97F1C" w:rsidRPr="00D25467">
          <w:rPr>
            <w:rStyle w:val="Hyperlink"/>
            <w:noProof/>
          </w:rPr>
          <w:t>Decision</w:t>
        </w:r>
        <w:r w:rsidR="00F97F1C">
          <w:rPr>
            <w:noProof/>
            <w:webHidden/>
          </w:rPr>
          <w:tab/>
        </w:r>
        <w:r w:rsidR="00F97F1C">
          <w:rPr>
            <w:noProof/>
            <w:webHidden/>
          </w:rPr>
          <w:fldChar w:fldCharType="begin"/>
        </w:r>
        <w:r w:rsidR="00F97F1C">
          <w:rPr>
            <w:noProof/>
            <w:webHidden/>
          </w:rPr>
          <w:instrText xml:space="preserve"> PAGEREF _Toc451340600 \h </w:instrText>
        </w:r>
        <w:r w:rsidR="00F97F1C">
          <w:rPr>
            <w:noProof/>
            <w:webHidden/>
          </w:rPr>
        </w:r>
        <w:r w:rsidR="00F97F1C">
          <w:rPr>
            <w:noProof/>
            <w:webHidden/>
          </w:rPr>
          <w:fldChar w:fldCharType="separate"/>
        </w:r>
        <w:r w:rsidR="00F466B1">
          <w:rPr>
            <w:noProof/>
            <w:webHidden/>
          </w:rPr>
          <w:t>10</w:t>
        </w:r>
        <w:r w:rsidR="00F97F1C">
          <w:rPr>
            <w:noProof/>
            <w:webHidden/>
          </w:rPr>
          <w:fldChar w:fldCharType="end"/>
        </w:r>
      </w:hyperlink>
    </w:p>
    <w:p w14:paraId="3596EC94" w14:textId="73A729D5" w:rsidR="00F97F1C" w:rsidRDefault="000D6CA0">
      <w:pPr>
        <w:pStyle w:val="TOC2"/>
        <w:tabs>
          <w:tab w:val="left" w:pos="880"/>
          <w:tab w:val="right" w:leader="dot" w:pos="9060"/>
        </w:tabs>
        <w:rPr>
          <w:rFonts w:eastAsiaTheme="minorEastAsia" w:cstheme="minorBidi"/>
          <w:smallCaps w:val="0"/>
          <w:noProof/>
          <w:sz w:val="22"/>
          <w:szCs w:val="22"/>
          <w:lang w:val="en-NZ" w:eastAsia="en-NZ" w:bidi="ar-SA"/>
        </w:rPr>
      </w:pPr>
      <w:hyperlink w:anchor="_Toc451340601" w:history="1">
        <w:r w:rsidR="00F97F1C" w:rsidRPr="00D25467">
          <w:rPr>
            <w:rStyle w:val="Hyperlink"/>
            <w:noProof/>
          </w:rPr>
          <w:t>2.3</w:t>
        </w:r>
        <w:r w:rsidR="00F97F1C">
          <w:rPr>
            <w:rFonts w:eastAsiaTheme="minorEastAsia" w:cstheme="minorBidi"/>
            <w:smallCaps w:val="0"/>
            <w:noProof/>
            <w:sz w:val="22"/>
            <w:szCs w:val="22"/>
            <w:lang w:val="en-NZ" w:eastAsia="en-NZ" w:bidi="ar-SA"/>
          </w:rPr>
          <w:tab/>
        </w:r>
        <w:r w:rsidR="00F97F1C" w:rsidRPr="00D25467">
          <w:rPr>
            <w:rStyle w:val="Hyperlink"/>
            <w:noProof/>
          </w:rPr>
          <w:t>FSANZ Act requirements</w:t>
        </w:r>
        <w:r w:rsidR="00F97F1C">
          <w:rPr>
            <w:noProof/>
            <w:webHidden/>
          </w:rPr>
          <w:tab/>
        </w:r>
        <w:r w:rsidR="00F97F1C">
          <w:rPr>
            <w:noProof/>
            <w:webHidden/>
          </w:rPr>
          <w:fldChar w:fldCharType="begin"/>
        </w:r>
        <w:r w:rsidR="00F97F1C">
          <w:rPr>
            <w:noProof/>
            <w:webHidden/>
          </w:rPr>
          <w:instrText xml:space="preserve"> PAGEREF _Toc451340601 \h </w:instrText>
        </w:r>
        <w:r w:rsidR="00F97F1C">
          <w:rPr>
            <w:noProof/>
            <w:webHidden/>
          </w:rPr>
        </w:r>
        <w:r w:rsidR="00F97F1C">
          <w:rPr>
            <w:noProof/>
            <w:webHidden/>
          </w:rPr>
          <w:fldChar w:fldCharType="separate"/>
        </w:r>
        <w:r w:rsidR="00F466B1">
          <w:rPr>
            <w:noProof/>
            <w:webHidden/>
          </w:rPr>
          <w:t>10</w:t>
        </w:r>
        <w:r w:rsidR="00F97F1C">
          <w:rPr>
            <w:noProof/>
            <w:webHidden/>
          </w:rPr>
          <w:fldChar w:fldCharType="end"/>
        </w:r>
      </w:hyperlink>
    </w:p>
    <w:p w14:paraId="79FECD0B" w14:textId="6EFCD47A" w:rsidR="00F97F1C" w:rsidRDefault="000D6CA0">
      <w:pPr>
        <w:pStyle w:val="TOC3"/>
        <w:tabs>
          <w:tab w:val="left" w:pos="1100"/>
        </w:tabs>
        <w:rPr>
          <w:rFonts w:eastAsiaTheme="minorEastAsia" w:cstheme="minorBidi"/>
          <w:i w:val="0"/>
          <w:iCs w:val="0"/>
          <w:noProof/>
          <w:sz w:val="22"/>
          <w:szCs w:val="22"/>
          <w:lang w:val="en-NZ" w:eastAsia="en-NZ" w:bidi="ar-SA"/>
        </w:rPr>
      </w:pPr>
      <w:hyperlink w:anchor="_Toc451340602" w:history="1">
        <w:r w:rsidR="00F97F1C" w:rsidRPr="00D25467">
          <w:rPr>
            <w:rStyle w:val="Hyperlink"/>
            <w:noProof/>
          </w:rPr>
          <w:t>2.3.1</w:t>
        </w:r>
        <w:r w:rsidR="00F97F1C">
          <w:rPr>
            <w:rFonts w:eastAsiaTheme="minorEastAsia" w:cstheme="minorBidi"/>
            <w:i w:val="0"/>
            <w:iCs w:val="0"/>
            <w:noProof/>
            <w:sz w:val="22"/>
            <w:szCs w:val="22"/>
            <w:lang w:val="en-NZ" w:eastAsia="en-NZ" w:bidi="ar-SA"/>
          </w:rPr>
          <w:tab/>
        </w:r>
        <w:r w:rsidR="00F97F1C" w:rsidRPr="00D25467">
          <w:rPr>
            <w:rStyle w:val="Hyperlink"/>
            <w:noProof/>
          </w:rPr>
          <w:t>Section 15AA of the FSANZ Act</w:t>
        </w:r>
        <w:r w:rsidR="00F97F1C">
          <w:rPr>
            <w:noProof/>
            <w:webHidden/>
          </w:rPr>
          <w:tab/>
        </w:r>
        <w:r w:rsidR="00F97F1C">
          <w:rPr>
            <w:noProof/>
            <w:webHidden/>
          </w:rPr>
          <w:fldChar w:fldCharType="begin"/>
        </w:r>
        <w:r w:rsidR="00F97F1C">
          <w:rPr>
            <w:noProof/>
            <w:webHidden/>
          </w:rPr>
          <w:instrText xml:space="preserve"> PAGEREF _Toc451340602 \h </w:instrText>
        </w:r>
        <w:r w:rsidR="00F97F1C">
          <w:rPr>
            <w:noProof/>
            <w:webHidden/>
          </w:rPr>
        </w:r>
        <w:r w:rsidR="00F97F1C">
          <w:rPr>
            <w:noProof/>
            <w:webHidden/>
          </w:rPr>
          <w:fldChar w:fldCharType="separate"/>
        </w:r>
        <w:r w:rsidR="00F466B1">
          <w:rPr>
            <w:noProof/>
            <w:webHidden/>
          </w:rPr>
          <w:t>10</w:t>
        </w:r>
        <w:r w:rsidR="00F97F1C">
          <w:rPr>
            <w:noProof/>
            <w:webHidden/>
          </w:rPr>
          <w:fldChar w:fldCharType="end"/>
        </w:r>
      </w:hyperlink>
    </w:p>
    <w:p w14:paraId="3F0D12B0" w14:textId="74702F26" w:rsidR="00F97F1C" w:rsidRPr="00F97F1C" w:rsidRDefault="000D6CA0">
      <w:pPr>
        <w:pStyle w:val="TOC3"/>
        <w:tabs>
          <w:tab w:val="left" w:pos="1100"/>
        </w:tabs>
        <w:rPr>
          <w:rStyle w:val="Hyperlink"/>
          <w:noProof/>
        </w:rPr>
      </w:pPr>
      <w:hyperlink w:anchor="_Toc451340603" w:history="1">
        <w:r w:rsidR="00F97F1C" w:rsidRPr="00F97F1C">
          <w:rPr>
            <w:rStyle w:val="Hyperlink"/>
            <w:noProof/>
          </w:rPr>
          <w:t>2.3.2</w:t>
        </w:r>
        <w:r w:rsidR="00F97F1C" w:rsidRPr="00F97F1C">
          <w:rPr>
            <w:rStyle w:val="Hyperlink"/>
            <w:noProof/>
          </w:rPr>
          <w:tab/>
          <w:t>Subsection 10(1) considerations</w:t>
        </w:r>
        <w:r w:rsidR="00F97F1C" w:rsidRPr="00F97F1C">
          <w:rPr>
            <w:rStyle w:val="Hyperlink"/>
            <w:noProof/>
            <w:webHidden/>
          </w:rPr>
          <w:tab/>
        </w:r>
        <w:r w:rsidR="00F97F1C" w:rsidRPr="00F97F1C">
          <w:rPr>
            <w:rStyle w:val="Hyperlink"/>
            <w:noProof/>
            <w:webHidden/>
          </w:rPr>
          <w:fldChar w:fldCharType="begin"/>
        </w:r>
        <w:r w:rsidR="00F97F1C" w:rsidRPr="00F97F1C">
          <w:rPr>
            <w:rStyle w:val="Hyperlink"/>
            <w:noProof/>
            <w:webHidden/>
          </w:rPr>
          <w:instrText xml:space="preserve"> PAGEREF _Toc451340603 \h </w:instrText>
        </w:r>
        <w:r w:rsidR="00F97F1C" w:rsidRPr="00F97F1C">
          <w:rPr>
            <w:rStyle w:val="Hyperlink"/>
            <w:noProof/>
            <w:webHidden/>
          </w:rPr>
        </w:r>
        <w:r w:rsidR="00F97F1C" w:rsidRPr="00F97F1C">
          <w:rPr>
            <w:rStyle w:val="Hyperlink"/>
            <w:noProof/>
            <w:webHidden/>
          </w:rPr>
          <w:fldChar w:fldCharType="separate"/>
        </w:r>
        <w:r w:rsidR="00F466B1">
          <w:rPr>
            <w:rStyle w:val="Hyperlink"/>
            <w:noProof/>
            <w:webHidden/>
          </w:rPr>
          <w:t>10</w:t>
        </w:r>
        <w:r w:rsidR="00F97F1C" w:rsidRPr="00F97F1C">
          <w:rPr>
            <w:rStyle w:val="Hyperlink"/>
            <w:noProof/>
            <w:webHidden/>
          </w:rPr>
          <w:fldChar w:fldCharType="end"/>
        </w:r>
      </w:hyperlink>
    </w:p>
    <w:p w14:paraId="7392AECB" w14:textId="0ECDB520" w:rsidR="00F97F1C" w:rsidRPr="00F97F1C" w:rsidRDefault="000D6CA0">
      <w:pPr>
        <w:pStyle w:val="TOC3"/>
        <w:tabs>
          <w:tab w:val="left" w:pos="1100"/>
        </w:tabs>
        <w:rPr>
          <w:rStyle w:val="Hyperlink"/>
          <w:noProof/>
        </w:rPr>
      </w:pPr>
      <w:hyperlink w:anchor="_Toc451340604" w:history="1">
        <w:r w:rsidR="00F97F1C" w:rsidRPr="00F97F1C">
          <w:rPr>
            <w:rStyle w:val="Hyperlink"/>
            <w:noProof/>
          </w:rPr>
          <w:t>2.3.3</w:t>
        </w:r>
        <w:r w:rsidR="00F97F1C" w:rsidRPr="00F97F1C">
          <w:rPr>
            <w:rStyle w:val="Hyperlink"/>
            <w:noProof/>
          </w:rPr>
          <w:tab/>
          <w:t>Subsection 10(2) considerations</w:t>
        </w:r>
        <w:r w:rsidR="00F97F1C" w:rsidRPr="00F97F1C">
          <w:rPr>
            <w:rStyle w:val="Hyperlink"/>
            <w:noProof/>
            <w:webHidden/>
          </w:rPr>
          <w:tab/>
        </w:r>
        <w:r w:rsidR="00F97F1C" w:rsidRPr="00F97F1C">
          <w:rPr>
            <w:rStyle w:val="Hyperlink"/>
            <w:noProof/>
            <w:webHidden/>
          </w:rPr>
          <w:fldChar w:fldCharType="begin"/>
        </w:r>
        <w:r w:rsidR="00F97F1C" w:rsidRPr="00F97F1C">
          <w:rPr>
            <w:rStyle w:val="Hyperlink"/>
            <w:noProof/>
            <w:webHidden/>
          </w:rPr>
          <w:instrText xml:space="preserve"> PAGEREF _Toc451340604 \h </w:instrText>
        </w:r>
        <w:r w:rsidR="00F97F1C" w:rsidRPr="00F97F1C">
          <w:rPr>
            <w:rStyle w:val="Hyperlink"/>
            <w:noProof/>
            <w:webHidden/>
          </w:rPr>
        </w:r>
        <w:r w:rsidR="00F97F1C" w:rsidRPr="00F97F1C">
          <w:rPr>
            <w:rStyle w:val="Hyperlink"/>
            <w:noProof/>
            <w:webHidden/>
          </w:rPr>
          <w:fldChar w:fldCharType="separate"/>
        </w:r>
        <w:r w:rsidR="00F466B1">
          <w:rPr>
            <w:rStyle w:val="Hyperlink"/>
            <w:noProof/>
            <w:webHidden/>
          </w:rPr>
          <w:t>11</w:t>
        </w:r>
        <w:r w:rsidR="00F97F1C" w:rsidRPr="00F97F1C">
          <w:rPr>
            <w:rStyle w:val="Hyperlink"/>
            <w:noProof/>
            <w:webHidden/>
          </w:rPr>
          <w:fldChar w:fldCharType="end"/>
        </w:r>
      </w:hyperlink>
    </w:p>
    <w:p w14:paraId="5D489F2D" w14:textId="04AA4AE5" w:rsidR="00F97F1C" w:rsidRDefault="000D6CA0">
      <w:pPr>
        <w:pStyle w:val="TOC1"/>
        <w:tabs>
          <w:tab w:val="left" w:pos="660"/>
          <w:tab w:val="right" w:leader="dot" w:pos="9060"/>
        </w:tabs>
        <w:rPr>
          <w:rFonts w:eastAsiaTheme="minorEastAsia" w:cstheme="minorBidi"/>
          <w:b w:val="0"/>
          <w:bCs w:val="0"/>
          <w:caps w:val="0"/>
          <w:noProof/>
          <w:sz w:val="22"/>
          <w:szCs w:val="22"/>
          <w:lang w:val="en-NZ" w:eastAsia="en-NZ" w:bidi="ar-SA"/>
        </w:rPr>
      </w:pPr>
      <w:hyperlink w:anchor="_Toc451340605" w:history="1">
        <w:r w:rsidR="00F97F1C" w:rsidRPr="00D25467">
          <w:rPr>
            <w:rStyle w:val="Hyperlink"/>
            <w:rFonts w:cs="Times New Roman"/>
            <w:noProof/>
          </w:rPr>
          <w:t>3</w:t>
        </w:r>
        <w:r w:rsidR="00F97F1C">
          <w:rPr>
            <w:rFonts w:eastAsiaTheme="minorEastAsia" w:cstheme="minorBidi"/>
            <w:b w:val="0"/>
            <w:bCs w:val="0"/>
            <w:caps w:val="0"/>
            <w:noProof/>
            <w:sz w:val="22"/>
            <w:szCs w:val="22"/>
            <w:lang w:val="en-NZ" w:eastAsia="en-NZ" w:bidi="ar-SA"/>
          </w:rPr>
          <w:tab/>
        </w:r>
        <w:r w:rsidR="00F97F1C" w:rsidRPr="00D25467">
          <w:rPr>
            <w:rStyle w:val="Hyperlink"/>
            <w:rFonts w:cs="Times New Roman"/>
            <w:noProof/>
          </w:rPr>
          <w:t>Rights of review</w:t>
        </w:r>
        <w:r w:rsidR="00F97F1C">
          <w:rPr>
            <w:noProof/>
            <w:webHidden/>
          </w:rPr>
          <w:tab/>
        </w:r>
        <w:r w:rsidR="00F97F1C">
          <w:rPr>
            <w:noProof/>
            <w:webHidden/>
          </w:rPr>
          <w:fldChar w:fldCharType="begin"/>
        </w:r>
        <w:r w:rsidR="00F97F1C">
          <w:rPr>
            <w:noProof/>
            <w:webHidden/>
          </w:rPr>
          <w:instrText xml:space="preserve"> PAGEREF _Toc451340605 \h </w:instrText>
        </w:r>
        <w:r w:rsidR="00F97F1C">
          <w:rPr>
            <w:noProof/>
            <w:webHidden/>
          </w:rPr>
        </w:r>
        <w:r w:rsidR="00F97F1C">
          <w:rPr>
            <w:noProof/>
            <w:webHidden/>
          </w:rPr>
          <w:fldChar w:fldCharType="separate"/>
        </w:r>
        <w:r w:rsidR="00F466B1">
          <w:rPr>
            <w:noProof/>
            <w:webHidden/>
          </w:rPr>
          <w:t>11</w:t>
        </w:r>
        <w:r w:rsidR="00F97F1C">
          <w:rPr>
            <w:noProof/>
            <w:webHidden/>
          </w:rPr>
          <w:fldChar w:fldCharType="end"/>
        </w:r>
      </w:hyperlink>
    </w:p>
    <w:p w14:paraId="460F5DBC" w14:textId="1407E47F" w:rsidR="00F97F1C" w:rsidRDefault="000D6CA0">
      <w:pPr>
        <w:pStyle w:val="TOC1"/>
        <w:tabs>
          <w:tab w:val="left" w:pos="660"/>
          <w:tab w:val="right" w:leader="dot" w:pos="9060"/>
        </w:tabs>
        <w:rPr>
          <w:rFonts w:eastAsiaTheme="minorEastAsia" w:cstheme="minorBidi"/>
          <w:b w:val="0"/>
          <w:bCs w:val="0"/>
          <w:caps w:val="0"/>
          <w:noProof/>
          <w:sz w:val="22"/>
          <w:szCs w:val="22"/>
          <w:lang w:val="en-NZ" w:eastAsia="en-NZ" w:bidi="ar-SA"/>
        </w:rPr>
      </w:pPr>
      <w:hyperlink w:anchor="_Toc451340606" w:history="1">
        <w:r w:rsidR="00F97F1C" w:rsidRPr="00D25467">
          <w:rPr>
            <w:rStyle w:val="Hyperlink"/>
            <w:noProof/>
          </w:rPr>
          <w:t>4</w:t>
        </w:r>
        <w:r w:rsidR="00F97F1C">
          <w:rPr>
            <w:rFonts w:eastAsiaTheme="minorEastAsia" w:cstheme="minorBidi"/>
            <w:b w:val="0"/>
            <w:bCs w:val="0"/>
            <w:caps w:val="0"/>
            <w:noProof/>
            <w:sz w:val="22"/>
            <w:szCs w:val="22"/>
            <w:lang w:val="en-NZ" w:eastAsia="en-NZ" w:bidi="ar-SA"/>
          </w:rPr>
          <w:tab/>
        </w:r>
        <w:r w:rsidR="00F97F1C" w:rsidRPr="00D25467">
          <w:rPr>
            <w:rStyle w:val="Hyperlink"/>
            <w:noProof/>
          </w:rPr>
          <w:t>References</w:t>
        </w:r>
        <w:r w:rsidR="00F97F1C">
          <w:rPr>
            <w:noProof/>
            <w:webHidden/>
          </w:rPr>
          <w:tab/>
        </w:r>
        <w:r w:rsidR="00F97F1C">
          <w:rPr>
            <w:noProof/>
            <w:webHidden/>
          </w:rPr>
          <w:fldChar w:fldCharType="begin"/>
        </w:r>
        <w:r w:rsidR="00F97F1C">
          <w:rPr>
            <w:noProof/>
            <w:webHidden/>
          </w:rPr>
          <w:instrText xml:space="preserve"> PAGEREF _Toc451340606 \h </w:instrText>
        </w:r>
        <w:r w:rsidR="00F97F1C">
          <w:rPr>
            <w:noProof/>
            <w:webHidden/>
          </w:rPr>
        </w:r>
        <w:r w:rsidR="00F97F1C">
          <w:rPr>
            <w:noProof/>
            <w:webHidden/>
          </w:rPr>
          <w:fldChar w:fldCharType="separate"/>
        </w:r>
        <w:r w:rsidR="00F466B1">
          <w:rPr>
            <w:noProof/>
            <w:webHidden/>
          </w:rPr>
          <w:t>11</w:t>
        </w:r>
        <w:r w:rsidR="00F97F1C">
          <w:rPr>
            <w:noProof/>
            <w:webHidden/>
          </w:rPr>
          <w:fldChar w:fldCharType="end"/>
        </w:r>
      </w:hyperlink>
    </w:p>
    <w:p w14:paraId="4727435A" w14:textId="3215644D" w:rsidR="00D73931" w:rsidRDefault="00051ED9" w:rsidP="00051ED9">
      <w:r>
        <w:fldChar w:fldCharType="end"/>
      </w:r>
    </w:p>
    <w:p w14:paraId="02629AEF" w14:textId="5B62DE2A" w:rsidR="00B2065D" w:rsidRPr="00E203C2" w:rsidRDefault="00B2065D" w:rsidP="00051ED9"/>
    <w:p w14:paraId="484F9DA6" w14:textId="77777777" w:rsidR="0037520F" w:rsidRPr="008844E4" w:rsidRDefault="0037520F" w:rsidP="0037520F">
      <w:pPr>
        <w:rPr>
          <w:b/>
          <w:szCs w:val="22"/>
        </w:rPr>
      </w:pPr>
      <w:r w:rsidRPr="008844E4">
        <w:rPr>
          <w:b/>
          <w:szCs w:val="22"/>
        </w:rPr>
        <w:t>Supporting documents</w:t>
      </w:r>
    </w:p>
    <w:p w14:paraId="315FCDDC" w14:textId="77777777" w:rsidR="0037520F" w:rsidRPr="0089264A" w:rsidRDefault="0037520F" w:rsidP="0037520F">
      <w:pPr>
        <w:rPr>
          <w:szCs w:val="22"/>
        </w:rPr>
      </w:pPr>
    </w:p>
    <w:p w14:paraId="4369419F" w14:textId="0EEE6375" w:rsidR="0017697A" w:rsidRPr="00091412" w:rsidRDefault="0017697A" w:rsidP="0017697A">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w:t>
      </w:r>
      <w:r w:rsidRPr="00301EE7">
        <w:rPr>
          <w:szCs w:val="22"/>
        </w:rPr>
        <w:t xml:space="preserve">assessment of this </w:t>
      </w:r>
      <w:r w:rsidR="007E755C">
        <w:rPr>
          <w:szCs w:val="22"/>
        </w:rPr>
        <w:t>Proposal</w:t>
      </w:r>
      <w:r w:rsidRPr="00301EE7">
        <w:rPr>
          <w:szCs w:val="22"/>
        </w:rPr>
        <w:t xml:space="preserve"> are available </w:t>
      </w:r>
      <w:r w:rsidRPr="0089264A">
        <w:rPr>
          <w:szCs w:val="22"/>
        </w:rPr>
        <w:t>on the FSANZ website at</w:t>
      </w:r>
      <w:r>
        <w:rPr>
          <w:szCs w:val="22"/>
        </w:rPr>
        <w:t xml:space="preserve"> </w:t>
      </w:r>
      <w:hyperlink r:id="rId16" w:history="1">
        <w:r w:rsidRPr="00091412">
          <w:rPr>
            <w:rStyle w:val="Hyperlink"/>
            <w:rFonts w:cs="Arial"/>
            <w:szCs w:val="22"/>
          </w:rPr>
          <w:t>http://www.foodstandards.gov.au/code/proposals/Pages/proposalp298benzoate2973.aspx</w:t>
        </w:r>
      </w:hyperlink>
      <w:r>
        <w:rPr>
          <w:rStyle w:val="srch-url2"/>
          <w:rFonts w:ascii="Verdana" w:eastAsiaTheme="minorHAnsi" w:hAnsi="Verdana"/>
          <w:color w:val="676767"/>
          <w:sz w:val="20"/>
          <w:szCs w:val="20"/>
        </w:rPr>
        <w:t xml:space="preserve"> </w:t>
      </w:r>
    </w:p>
    <w:p w14:paraId="38073C4A" w14:textId="77777777" w:rsidR="0017697A" w:rsidRPr="00091412" w:rsidRDefault="0017697A" w:rsidP="0017697A">
      <w:pPr>
        <w:rPr>
          <w:szCs w:val="22"/>
        </w:rPr>
      </w:pPr>
    </w:p>
    <w:p w14:paraId="08A0C052" w14:textId="77777777" w:rsidR="0017697A" w:rsidRPr="00091412" w:rsidRDefault="0017697A" w:rsidP="0017697A">
      <w:pPr>
        <w:spacing w:after="60"/>
        <w:rPr>
          <w:rFonts w:cs="Arial"/>
        </w:rPr>
      </w:pPr>
      <w:r w:rsidRPr="00091412">
        <w:rPr>
          <w:rFonts w:cs="Arial"/>
        </w:rPr>
        <w:t>SD1</w:t>
      </w:r>
      <w:r w:rsidRPr="00091412">
        <w:rPr>
          <w:rFonts w:cs="Arial"/>
        </w:rPr>
        <w:tab/>
      </w:r>
      <w:r w:rsidRPr="00091412">
        <w:rPr>
          <w:rFonts w:cs="Arial"/>
        </w:rPr>
        <w:tab/>
        <w:t xml:space="preserve">Risk </w:t>
      </w:r>
      <w:r>
        <w:rPr>
          <w:rFonts w:cs="Arial"/>
        </w:rPr>
        <w:t>and Technical Assessment Report</w:t>
      </w:r>
    </w:p>
    <w:p w14:paraId="19FED0AD" w14:textId="77777777" w:rsidR="0017697A" w:rsidRPr="00301EE7" w:rsidRDefault="0017697A" w:rsidP="0017697A">
      <w:pPr>
        <w:spacing w:after="60"/>
        <w:ind w:left="1134" w:hanging="1134"/>
        <w:rPr>
          <w:rFonts w:cs="Arial"/>
        </w:rPr>
      </w:pPr>
      <w:r w:rsidRPr="00091412">
        <w:rPr>
          <w:rFonts w:cs="Arial"/>
        </w:rPr>
        <w:t>SD2</w:t>
      </w:r>
      <w:r w:rsidRPr="00091412">
        <w:rPr>
          <w:rFonts w:cs="Arial"/>
        </w:rPr>
        <w:tab/>
      </w:r>
      <w:r w:rsidRPr="00301EE7">
        <w:rPr>
          <w:rFonts w:cs="Arial"/>
        </w:rPr>
        <w:t>A Review of Sulphites in Raw Meat Sausages</w:t>
      </w:r>
      <w:r>
        <w:rPr>
          <w:rFonts w:cs="Arial"/>
        </w:rPr>
        <w:t xml:space="preserve">, prepared by the </w:t>
      </w:r>
      <w:r w:rsidRPr="006568FB">
        <w:t>South Australian Research and Development Institute</w:t>
      </w:r>
      <w:r>
        <w:t xml:space="preserve"> (SARDI)</w:t>
      </w:r>
    </w:p>
    <w:p w14:paraId="6B8B7CF2" w14:textId="74541C00" w:rsidR="00454405" w:rsidRDefault="00454405" w:rsidP="00C933AB">
      <w:pPr>
        <w:spacing w:line="280" w:lineRule="exact"/>
        <w:ind w:left="851" w:hanging="851"/>
        <w:outlineLvl w:val="3"/>
      </w:pPr>
    </w:p>
    <w:p w14:paraId="08DDA3E8" w14:textId="4518407D" w:rsidR="007037CC" w:rsidRDefault="007037CC" w:rsidP="00C933AB">
      <w:pPr>
        <w:spacing w:line="280" w:lineRule="exact"/>
        <w:ind w:left="851" w:hanging="851"/>
        <w:outlineLvl w:val="3"/>
      </w:pPr>
    </w:p>
    <w:p w14:paraId="3649B7AD" w14:textId="77777777" w:rsidR="007037CC" w:rsidRDefault="007037CC" w:rsidP="00C933AB">
      <w:pPr>
        <w:spacing w:line="280" w:lineRule="exact"/>
        <w:ind w:left="851" w:hanging="851"/>
        <w:outlineLvl w:val="3"/>
      </w:pPr>
    </w:p>
    <w:p w14:paraId="36AD13DC" w14:textId="77777777" w:rsidR="00E063C6" w:rsidRDefault="00C933AB" w:rsidP="00251773">
      <w:pPr>
        <w:pStyle w:val="Heading1"/>
      </w:pPr>
      <w:r>
        <w:br w:type="page"/>
      </w:r>
      <w:bookmarkStart w:id="8" w:name="_Toc286391001"/>
      <w:bookmarkStart w:id="9" w:name="_Toc300933414"/>
      <w:bookmarkStart w:id="10" w:name="_Toc451340581"/>
      <w:bookmarkStart w:id="11" w:name="_Toc11735627"/>
      <w:bookmarkStart w:id="12" w:name="_Toc29883110"/>
      <w:bookmarkStart w:id="13" w:name="_Toc41906797"/>
      <w:bookmarkStart w:id="14" w:name="_Toc41907544"/>
      <w:bookmarkStart w:id="15" w:name="_Toc120358575"/>
      <w:r w:rsidR="0014756C">
        <w:lastRenderedPageBreak/>
        <w:t>E</w:t>
      </w:r>
      <w:r w:rsidR="0037520F">
        <w:t>xecutive s</w:t>
      </w:r>
      <w:r w:rsidR="00E063C6" w:rsidRPr="00E203C2">
        <w:t>ummary</w:t>
      </w:r>
      <w:bookmarkEnd w:id="8"/>
      <w:bookmarkEnd w:id="9"/>
      <w:bookmarkEnd w:id="10"/>
    </w:p>
    <w:p w14:paraId="2FE5596B" w14:textId="21CF9994" w:rsidR="003C0714" w:rsidRDefault="00DB1972" w:rsidP="00B50468">
      <w:bookmarkStart w:id="16" w:name="_Toc286391003"/>
      <w:r w:rsidRPr="00DB1972">
        <w:rPr>
          <w:lang w:bidi="ar-SA"/>
        </w:rPr>
        <w:t>In 2005</w:t>
      </w:r>
      <w:r w:rsidR="00E906B9">
        <w:rPr>
          <w:lang w:bidi="ar-SA"/>
        </w:rPr>
        <w:t>,</w:t>
      </w:r>
      <w:r w:rsidR="00FC7BFB">
        <w:rPr>
          <w:lang w:bidi="ar-SA"/>
        </w:rPr>
        <w:t xml:space="preserve"> </w:t>
      </w:r>
      <w:r w:rsidRPr="00DB1972">
        <w:rPr>
          <w:lang w:bidi="ar-SA"/>
        </w:rPr>
        <w:t>the 21</w:t>
      </w:r>
      <w:r w:rsidRPr="00DB1972">
        <w:rPr>
          <w:vertAlign w:val="superscript"/>
          <w:lang w:bidi="ar-SA"/>
        </w:rPr>
        <w:t>st</w:t>
      </w:r>
      <w:r w:rsidRPr="00DB1972">
        <w:rPr>
          <w:lang w:bidi="ar-SA"/>
        </w:rPr>
        <w:t xml:space="preserve"> Australian Total Diet Study (ATDS) </w:t>
      </w:r>
      <w:r w:rsidR="00FB30DE">
        <w:rPr>
          <w:lang w:bidi="ar-SA"/>
        </w:rPr>
        <w:t>indicat</w:t>
      </w:r>
      <w:r w:rsidR="003C0714">
        <w:rPr>
          <w:lang w:bidi="ar-SA"/>
        </w:rPr>
        <w:t xml:space="preserve">ed </w:t>
      </w:r>
      <w:r w:rsidR="00FB30DE">
        <w:rPr>
          <w:lang w:bidi="ar-SA"/>
        </w:rPr>
        <w:t xml:space="preserve">that </w:t>
      </w:r>
      <w:r w:rsidRPr="00DB1972">
        <w:rPr>
          <w:lang w:bidi="ar-SA"/>
        </w:rPr>
        <w:t xml:space="preserve">estimated dietary exposures to the preservatives </w:t>
      </w:r>
      <w:r w:rsidR="00D71DE6" w:rsidRPr="00DB1972">
        <w:rPr>
          <w:lang w:bidi="ar-SA"/>
        </w:rPr>
        <w:t xml:space="preserve">benzoates and </w:t>
      </w:r>
      <w:r w:rsidRPr="00DB1972">
        <w:rPr>
          <w:lang w:bidi="ar-SA"/>
        </w:rPr>
        <w:t>sulphites for some groups in the Australian population</w:t>
      </w:r>
      <w:r w:rsidR="00FB30DE">
        <w:rPr>
          <w:lang w:bidi="ar-SA"/>
        </w:rPr>
        <w:t xml:space="preserve"> were</w:t>
      </w:r>
      <w:r w:rsidRPr="00DB1972">
        <w:rPr>
          <w:lang w:bidi="ar-SA"/>
        </w:rPr>
        <w:t xml:space="preserve"> pote</w:t>
      </w:r>
      <w:r w:rsidR="001F3EEF">
        <w:rPr>
          <w:lang w:bidi="ar-SA"/>
        </w:rPr>
        <w:t xml:space="preserve">ntially exceeding the relevant </w:t>
      </w:r>
      <w:r w:rsidR="003C0714">
        <w:rPr>
          <w:lang w:bidi="ar-SA"/>
        </w:rPr>
        <w:t>h</w:t>
      </w:r>
      <w:r w:rsidR="001F3EEF">
        <w:rPr>
          <w:lang w:bidi="ar-SA"/>
        </w:rPr>
        <w:t>ealth</w:t>
      </w:r>
      <w:r w:rsidR="003C0714">
        <w:rPr>
          <w:lang w:bidi="ar-SA"/>
        </w:rPr>
        <w:t>-b</w:t>
      </w:r>
      <w:r w:rsidR="001F3EEF">
        <w:rPr>
          <w:lang w:bidi="ar-SA"/>
        </w:rPr>
        <w:t xml:space="preserve">ased </w:t>
      </w:r>
      <w:r w:rsidR="003C0714">
        <w:rPr>
          <w:lang w:bidi="ar-SA"/>
        </w:rPr>
        <w:t>g</w:t>
      </w:r>
      <w:r w:rsidR="001F3EEF">
        <w:rPr>
          <w:lang w:bidi="ar-SA"/>
        </w:rPr>
        <w:t xml:space="preserve">uidance </w:t>
      </w:r>
      <w:r w:rsidR="003C0714">
        <w:rPr>
          <w:lang w:bidi="ar-SA"/>
        </w:rPr>
        <w:t>v</w:t>
      </w:r>
      <w:r w:rsidR="001F3EEF">
        <w:rPr>
          <w:lang w:bidi="ar-SA"/>
        </w:rPr>
        <w:t>alue (HBGV).</w:t>
      </w:r>
      <w:r w:rsidR="00293C25" w:rsidRPr="00293C25">
        <w:t xml:space="preserve"> </w:t>
      </w:r>
      <w:r w:rsidR="002B3718">
        <w:t xml:space="preserve">This was also supported by </w:t>
      </w:r>
      <w:r w:rsidR="00F97F1C">
        <w:t>a</w:t>
      </w:r>
      <w:r w:rsidR="002B3718">
        <w:t xml:space="preserve"> </w:t>
      </w:r>
      <w:r w:rsidR="002B3718" w:rsidRPr="002B3718">
        <w:t>dietary exposure</w:t>
      </w:r>
      <w:r w:rsidR="002B3718">
        <w:t xml:space="preserve"> </w:t>
      </w:r>
      <w:r w:rsidR="00A7582D">
        <w:t xml:space="preserve">assessment </w:t>
      </w:r>
      <w:r w:rsidR="002B3718">
        <w:t>carried out in New Zealand.</w:t>
      </w:r>
      <w:r w:rsidR="006433F1">
        <w:t xml:space="preserve">  For these preservatives</w:t>
      </w:r>
      <w:r w:rsidR="00E3347E">
        <w:t>,</w:t>
      </w:r>
      <w:r w:rsidR="006433F1">
        <w:t xml:space="preserve"> the relevant HBGVs are the </w:t>
      </w:r>
      <w:r w:rsidR="006433F1" w:rsidRPr="00DB1BA7">
        <w:t xml:space="preserve">acceptable daily intake (ADI) </w:t>
      </w:r>
      <w:r w:rsidR="006433F1">
        <w:t xml:space="preserve">developed by the </w:t>
      </w:r>
      <w:r w:rsidR="006433F1" w:rsidRPr="00DB1BA7">
        <w:t>Joint FAO/WHO Expert Committee on Food Additives (JECFA)</w:t>
      </w:r>
      <w:r w:rsidR="006433F1">
        <w:t>.</w:t>
      </w:r>
    </w:p>
    <w:p w14:paraId="7E8CD190" w14:textId="77777777" w:rsidR="003C0714" w:rsidRDefault="003C0714" w:rsidP="00B50468"/>
    <w:p w14:paraId="39BE01BA" w14:textId="77777777" w:rsidR="00A441B5" w:rsidRDefault="00A441B5" w:rsidP="00A441B5">
      <w:pPr>
        <w:rPr>
          <w:lang w:eastAsia="en-AU" w:bidi="ar-SA"/>
        </w:rPr>
      </w:pPr>
      <w:r>
        <w:rPr>
          <w:lang w:eastAsia="en-AU" w:bidi="ar-SA"/>
        </w:rPr>
        <w:t>P298</w:t>
      </w:r>
      <w:r w:rsidRPr="00C62C28">
        <w:rPr>
          <w:lang w:eastAsia="en-AU" w:bidi="ar-SA"/>
        </w:rPr>
        <w:t xml:space="preserve"> </w:t>
      </w:r>
      <w:r>
        <w:rPr>
          <w:lang w:eastAsia="en-AU" w:bidi="ar-SA"/>
        </w:rPr>
        <w:t xml:space="preserve">was prepared in response to these surveys </w:t>
      </w:r>
      <w:r w:rsidRPr="00C62C28">
        <w:rPr>
          <w:lang w:eastAsia="en-AU" w:bidi="ar-SA"/>
        </w:rPr>
        <w:t xml:space="preserve">to consider </w:t>
      </w:r>
      <w:r>
        <w:rPr>
          <w:lang w:eastAsia="en-AU" w:bidi="ar-SA"/>
        </w:rPr>
        <w:t>p</w:t>
      </w:r>
      <w:r w:rsidRPr="00C62C28">
        <w:rPr>
          <w:lang w:eastAsia="en-AU" w:bidi="ar-SA"/>
        </w:rPr>
        <w:t>ermissions in the Code for benzoates and sulphites</w:t>
      </w:r>
      <w:r>
        <w:rPr>
          <w:lang w:eastAsia="en-AU" w:bidi="ar-SA"/>
        </w:rPr>
        <w:t>.</w:t>
      </w:r>
    </w:p>
    <w:p w14:paraId="64CFE2BA" w14:textId="77777777" w:rsidR="00A441B5" w:rsidRDefault="00A441B5" w:rsidP="00B50468"/>
    <w:p w14:paraId="1584C153" w14:textId="0780C29A" w:rsidR="00CC1BFD" w:rsidRPr="00CC1BFD" w:rsidRDefault="003C0714" w:rsidP="00B50468">
      <w:pPr>
        <w:rPr>
          <w:lang w:bidi="ar-SA"/>
        </w:rPr>
      </w:pPr>
      <w:r>
        <w:rPr>
          <w:bCs/>
          <w:lang w:bidi="ar-SA"/>
        </w:rPr>
        <w:t>B</w:t>
      </w:r>
      <w:r w:rsidR="00D71DE6">
        <w:rPr>
          <w:bCs/>
          <w:lang w:bidi="ar-SA"/>
        </w:rPr>
        <w:t xml:space="preserve">enzoates and </w:t>
      </w:r>
      <w:r w:rsidR="001F3EEF">
        <w:rPr>
          <w:bCs/>
          <w:lang w:bidi="ar-SA"/>
        </w:rPr>
        <w:t xml:space="preserve">sulphites </w:t>
      </w:r>
      <w:r w:rsidR="001F3EEF" w:rsidRPr="001F3EEF">
        <w:rPr>
          <w:bCs/>
          <w:lang w:bidi="ar-SA"/>
        </w:rPr>
        <w:t xml:space="preserve">are </w:t>
      </w:r>
      <w:r>
        <w:rPr>
          <w:bCs/>
          <w:lang w:bidi="ar-SA"/>
        </w:rPr>
        <w:t xml:space="preserve">permitted food </w:t>
      </w:r>
      <w:r w:rsidR="001F3EEF" w:rsidRPr="001F3EEF">
        <w:rPr>
          <w:bCs/>
          <w:lang w:val="en-AU" w:bidi="ar-SA"/>
        </w:rPr>
        <w:t>additives</w:t>
      </w:r>
      <w:r w:rsidR="003E01F7">
        <w:rPr>
          <w:bCs/>
          <w:lang w:val="en-AU" w:bidi="ar-SA"/>
        </w:rPr>
        <w:t xml:space="preserve"> in</w:t>
      </w:r>
      <w:r w:rsidR="00B82B79" w:rsidRPr="00B82B79">
        <w:rPr>
          <w:bCs/>
          <w:lang w:bidi="ar-SA"/>
        </w:rPr>
        <w:t xml:space="preserve"> the </w:t>
      </w:r>
      <w:r w:rsidR="00B82B79" w:rsidRPr="00D3441B">
        <w:rPr>
          <w:bCs/>
          <w:i/>
          <w:lang w:bidi="ar-SA"/>
        </w:rPr>
        <w:t>Australia New Zealand Food Standards Code</w:t>
      </w:r>
      <w:r w:rsidR="00B82B79" w:rsidRPr="00B82B79">
        <w:rPr>
          <w:bCs/>
          <w:lang w:bidi="ar-SA"/>
        </w:rPr>
        <w:t xml:space="preserve"> (the Code)</w:t>
      </w:r>
      <w:r w:rsidR="001F3EEF">
        <w:rPr>
          <w:bCs/>
          <w:lang w:bidi="ar-SA"/>
        </w:rPr>
        <w:t>. Each</w:t>
      </w:r>
      <w:r w:rsidR="00FB30DE">
        <w:rPr>
          <w:bCs/>
          <w:lang w:bidi="ar-SA"/>
        </w:rPr>
        <w:t xml:space="preserve"> preservative</w:t>
      </w:r>
      <w:r w:rsidR="001F3EEF">
        <w:rPr>
          <w:bCs/>
          <w:lang w:bidi="ar-SA"/>
        </w:rPr>
        <w:t xml:space="preserve"> has</w:t>
      </w:r>
      <w:r w:rsidR="00B82B79" w:rsidRPr="00B82B79">
        <w:rPr>
          <w:bCs/>
          <w:lang w:bidi="ar-SA"/>
        </w:rPr>
        <w:t xml:space="preserve"> </w:t>
      </w:r>
      <w:r w:rsidR="003736BD">
        <w:rPr>
          <w:bCs/>
          <w:lang w:bidi="ar-SA"/>
        </w:rPr>
        <w:t xml:space="preserve">a </w:t>
      </w:r>
      <w:r w:rsidR="00B82B79" w:rsidRPr="00B82B79">
        <w:rPr>
          <w:bCs/>
          <w:lang w:bidi="ar-SA"/>
        </w:rPr>
        <w:t xml:space="preserve">different </w:t>
      </w:r>
      <w:r w:rsidR="003736BD">
        <w:rPr>
          <w:bCs/>
          <w:lang w:bidi="ar-SA"/>
        </w:rPr>
        <w:t>maximum permitted level</w:t>
      </w:r>
      <w:r w:rsidR="00B50468">
        <w:rPr>
          <w:bCs/>
          <w:lang w:bidi="ar-SA"/>
        </w:rPr>
        <w:t xml:space="preserve"> (M</w:t>
      </w:r>
      <w:r w:rsidR="00984F88">
        <w:rPr>
          <w:bCs/>
          <w:lang w:bidi="ar-SA"/>
        </w:rPr>
        <w:t>P</w:t>
      </w:r>
      <w:r w:rsidR="00B50468">
        <w:rPr>
          <w:bCs/>
          <w:lang w:bidi="ar-SA"/>
        </w:rPr>
        <w:t>L)</w:t>
      </w:r>
      <w:r w:rsidR="00B82B79" w:rsidRPr="00B82B79">
        <w:rPr>
          <w:bCs/>
          <w:lang w:bidi="ar-SA"/>
        </w:rPr>
        <w:t xml:space="preserve"> for various food types based on the demonstrated technical need</w:t>
      </w:r>
      <w:r w:rsidR="00074D55">
        <w:rPr>
          <w:bCs/>
          <w:lang w:bidi="ar-SA"/>
        </w:rPr>
        <w:t xml:space="preserve">. </w:t>
      </w:r>
    </w:p>
    <w:p w14:paraId="1D472305" w14:textId="77777777" w:rsidR="00B6035B" w:rsidRDefault="00B6035B" w:rsidP="00CC1BFD">
      <w:pPr>
        <w:rPr>
          <w:lang w:bidi="ar-SA"/>
        </w:rPr>
      </w:pPr>
    </w:p>
    <w:p w14:paraId="108C9134" w14:textId="4B284F54" w:rsidR="003C0714" w:rsidRDefault="003C0714" w:rsidP="00CC1BFD">
      <w:pPr>
        <w:rPr>
          <w:lang w:bidi="ar-SA"/>
        </w:rPr>
      </w:pPr>
      <w:r>
        <w:rPr>
          <w:lang w:bidi="ar-SA"/>
        </w:rPr>
        <w:t xml:space="preserve">Following </w:t>
      </w:r>
      <w:r w:rsidR="00DF4BC4">
        <w:rPr>
          <w:lang w:bidi="ar-SA"/>
        </w:rPr>
        <w:t xml:space="preserve">further surveys and </w:t>
      </w:r>
      <w:r>
        <w:rPr>
          <w:lang w:bidi="ar-SA"/>
        </w:rPr>
        <w:t>dietary exposure assessments FSANZ concluded there was no public health and safety concern for benzoates</w:t>
      </w:r>
      <w:r w:rsidR="00A7582D">
        <w:rPr>
          <w:lang w:bidi="ar-SA"/>
        </w:rPr>
        <w:t>.</w:t>
      </w:r>
      <w:r>
        <w:rPr>
          <w:lang w:bidi="ar-SA"/>
        </w:rPr>
        <w:t xml:space="preserve"> </w:t>
      </w:r>
      <w:r w:rsidR="00A7582D">
        <w:rPr>
          <w:lang w:bidi="ar-SA"/>
        </w:rPr>
        <w:t>H</w:t>
      </w:r>
      <w:r>
        <w:rPr>
          <w:lang w:bidi="ar-SA"/>
        </w:rPr>
        <w:t>owever</w:t>
      </w:r>
      <w:r w:rsidR="00E3347E">
        <w:rPr>
          <w:lang w:bidi="ar-SA"/>
        </w:rPr>
        <w:t>,</w:t>
      </w:r>
      <w:r>
        <w:rPr>
          <w:lang w:bidi="ar-SA"/>
        </w:rPr>
        <w:t xml:space="preserve"> </w:t>
      </w:r>
      <w:r w:rsidR="00DF4BC4">
        <w:rPr>
          <w:lang w:bidi="ar-SA"/>
        </w:rPr>
        <w:t xml:space="preserve">more </w:t>
      </w:r>
      <w:r>
        <w:rPr>
          <w:lang w:bidi="ar-SA"/>
        </w:rPr>
        <w:t xml:space="preserve">work was </w:t>
      </w:r>
      <w:r w:rsidR="00E3347E">
        <w:rPr>
          <w:lang w:bidi="ar-SA"/>
        </w:rPr>
        <w:t>identified for</w:t>
      </w:r>
      <w:r>
        <w:rPr>
          <w:lang w:bidi="ar-SA"/>
        </w:rPr>
        <w:t xml:space="preserve"> sulphites. An updated </w:t>
      </w:r>
      <w:r w:rsidR="00DF4BC4">
        <w:rPr>
          <w:lang w:bidi="ar-SA"/>
        </w:rPr>
        <w:t>dietary exposure assessment</w:t>
      </w:r>
      <w:r>
        <w:rPr>
          <w:lang w:bidi="ar-SA"/>
        </w:rPr>
        <w:t xml:space="preserve"> for sulphites indicated </w:t>
      </w:r>
      <w:r w:rsidR="00A011E9">
        <w:rPr>
          <w:lang w:bidi="ar-SA"/>
        </w:rPr>
        <w:t xml:space="preserve">that </w:t>
      </w:r>
      <w:r w:rsidRPr="00CC1BFD">
        <w:rPr>
          <w:lang w:bidi="ar-SA"/>
        </w:rPr>
        <w:t>Australian children aged 2</w:t>
      </w:r>
      <w:r w:rsidR="00A441B5">
        <w:rPr>
          <w:lang w:bidi="ar-SA"/>
        </w:rPr>
        <w:sym w:font="Symbol" w:char="F02D"/>
      </w:r>
      <w:r w:rsidRPr="00CC1BFD">
        <w:rPr>
          <w:lang w:bidi="ar-SA"/>
        </w:rPr>
        <w:t>5 years and New Zealand boys aged 5</w:t>
      </w:r>
      <w:r w:rsidR="00A441B5">
        <w:rPr>
          <w:lang w:bidi="ar-SA"/>
        </w:rPr>
        <w:sym w:font="Symbol" w:char="F02D"/>
      </w:r>
      <w:r w:rsidRPr="00CC1BFD">
        <w:rPr>
          <w:lang w:bidi="ar-SA"/>
        </w:rPr>
        <w:t>12 years</w:t>
      </w:r>
      <w:r>
        <w:rPr>
          <w:lang w:bidi="ar-SA"/>
        </w:rPr>
        <w:t xml:space="preserve"> who were high consumers of products containing sulphites</w:t>
      </w:r>
      <w:r w:rsidR="00A011E9">
        <w:rPr>
          <w:lang w:bidi="ar-SA"/>
        </w:rPr>
        <w:t xml:space="preserve"> may be exceeding the ADI for sulphites</w:t>
      </w:r>
      <w:r>
        <w:rPr>
          <w:lang w:bidi="ar-SA"/>
        </w:rPr>
        <w:t xml:space="preserve">.  </w:t>
      </w:r>
    </w:p>
    <w:p w14:paraId="729DF29F" w14:textId="617DD90C" w:rsidR="004D186B" w:rsidRDefault="004D186B">
      <w:pPr>
        <w:rPr>
          <w:lang w:bidi="ar-SA"/>
        </w:rPr>
      </w:pPr>
    </w:p>
    <w:p w14:paraId="2F9E5556" w14:textId="7EFFCA10" w:rsidR="00A011E9" w:rsidRDefault="004D186B">
      <w:pPr>
        <w:rPr>
          <w:szCs w:val="20"/>
        </w:rPr>
      </w:pPr>
      <w:r>
        <w:rPr>
          <w:szCs w:val="20"/>
        </w:rPr>
        <w:t xml:space="preserve">FSANZ’s </w:t>
      </w:r>
      <w:r w:rsidR="00A011E9">
        <w:rPr>
          <w:szCs w:val="20"/>
        </w:rPr>
        <w:t xml:space="preserve">risk assessment, based on </w:t>
      </w:r>
      <w:r>
        <w:rPr>
          <w:szCs w:val="20"/>
        </w:rPr>
        <w:t>the best available scientific evidence currently available</w:t>
      </w:r>
      <w:r w:rsidR="00A011E9">
        <w:rPr>
          <w:szCs w:val="20"/>
        </w:rPr>
        <w:t>,</w:t>
      </w:r>
      <w:r>
        <w:rPr>
          <w:szCs w:val="20"/>
        </w:rPr>
        <w:t xml:space="preserve"> is that the ADI has been set too low</w:t>
      </w:r>
      <w:r w:rsidR="00A7582D">
        <w:rPr>
          <w:szCs w:val="20"/>
        </w:rPr>
        <w:t>.</w:t>
      </w:r>
      <w:r>
        <w:rPr>
          <w:szCs w:val="20"/>
        </w:rPr>
        <w:t xml:space="preserve"> </w:t>
      </w:r>
    </w:p>
    <w:p w14:paraId="7440BEA3" w14:textId="77777777" w:rsidR="00A011E9" w:rsidRDefault="00A011E9">
      <w:pPr>
        <w:rPr>
          <w:szCs w:val="20"/>
        </w:rPr>
      </w:pPr>
    </w:p>
    <w:p w14:paraId="66671651" w14:textId="3A5AFBF7" w:rsidR="00A7582D" w:rsidRDefault="00A011E9" w:rsidP="00A7582D">
      <w:pPr>
        <w:rPr>
          <w:szCs w:val="20"/>
        </w:rPr>
      </w:pPr>
      <w:r>
        <w:rPr>
          <w:szCs w:val="20"/>
        </w:rPr>
        <w:t xml:space="preserve">This assessment </w:t>
      </w:r>
      <w:r w:rsidR="00414B47">
        <w:rPr>
          <w:lang w:bidi="ar-SA"/>
        </w:rPr>
        <w:t>recognise</w:t>
      </w:r>
      <w:r>
        <w:rPr>
          <w:lang w:bidi="ar-SA"/>
        </w:rPr>
        <w:t>s</w:t>
      </w:r>
      <w:r w:rsidR="00414B47">
        <w:rPr>
          <w:lang w:bidi="ar-SA"/>
        </w:rPr>
        <w:t xml:space="preserve"> that the</w:t>
      </w:r>
      <w:r w:rsidR="00414B47" w:rsidRPr="00414B47">
        <w:rPr>
          <w:lang w:bidi="ar-SA"/>
        </w:rPr>
        <w:t xml:space="preserve"> </w:t>
      </w:r>
      <w:r w:rsidR="00F62BE1">
        <w:rPr>
          <w:lang w:bidi="ar-SA"/>
        </w:rPr>
        <w:t xml:space="preserve">ADI </w:t>
      </w:r>
      <w:r w:rsidR="003C0714">
        <w:rPr>
          <w:lang w:bidi="ar-SA"/>
        </w:rPr>
        <w:t>f</w:t>
      </w:r>
      <w:r w:rsidR="00414B47" w:rsidRPr="00414B47">
        <w:rPr>
          <w:lang w:bidi="ar-SA"/>
        </w:rPr>
        <w:t xml:space="preserve">or sulphites established </w:t>
      </w:r>
      <w:r w:rsidR="005C327E">
        <w:rPr>
          <w:lang w:bidi="ar-SA"/>
        </w:rPr>
        <w:t xml:space="preserve">by JECFA </w:t>
      </w:r>
      <w:r w:rsidR="00414B47" w:rsidRPr="00414B47">
        <w:rPr>
          <w:lang w:bidi="ar-SA"/>
        </w:rPr>
        <w:t xml:space="preserve">in 1974 </w:t>
      </w:r>
      <w:r w:rsidR="003C0714">
        <w:rPr>
          <w:lang w:bidi="ar-SA"/>
        </w:rPr>
        <w:t xml:space="preserve">and </w:t>
      </w:r>
      <w:r w:rsidR="00414B47" w:rsidRPr="00414B47">
        <w:rPr>
          <w:lang w:bidi="ar-SA"/>
        </w:rPr>
        <w:t xml:space="preserve">on which permissions are </w:t>
      </w:r>
      <w:r w:rsidR="00414B47">
        <w:rPr>
          <w:lang w:bidi="ar-SA"/>
        </w:rPr>
        <w:t xml:space="preserve">set in </w:t>
      </w:r>
      <w:r w:rsidR="00414B47" w:rsidRPr="00414B47">
        <w:rPr>
          <w:lang w:bidi="ar-SA"/>
        </w:rPr>
        <w:t>the Code</w:t>
      </w:r>
      <w:r>
        <w:rPr>
          <w:lang w:bidi="ar-SA"/>
        </w:rPr>
        <w:t>,</w:t>
      </w:r>
      <w:r w:rsidR="00414B47" w:rsidRPr="00414B47">
        <w:rPr>
          <w:lang w:bidi="ar-SA"/>
        </w:rPr>
        <w:t xml:space="preserve"> suffer</w:t>
      </w:r>
      <w:r w:rsidR="008A3355">
        <w:rPr>
          <w:lang w:bidi="ar-SA"/>
        </w:rPr>
        <w:t>ed</w:t>
      </w:r>
      <w:r w:rsidR="00414B47" w:rsidRPr="00414B47">
        <w:rPr>
          <w:lang w:bidi="ar-SA"/>
        </w:rPr>
        <w:t xml:space="preserve"> from significant flaws</w:t>
      </w:r>
      <w:r w:rsidR="008931FB">
        <w:rPr>
          <w:lang w:bidi="ar-SA"/>
        </w:rPr>
        <w:t xml:space="preserve"> in </w:t>
      </w:r>
      <w:r w:rsidR="008931FB" w:rsidRPr="008931FB">
        <w:rPr>
          <w:lang w:bidi="ar-SA"/>
        </w:rPr>
        <w:t>design</w:t>
      </w:r>
      <w:r w:rsidR="008931FB">
        <w:rPr>
          <w:lang w:bidi="ar-SA"/>
        </w:rPr>
        <w:t xml:space="preserve"> and implementation</w:t>
      </w:r>
      <w:r w:rsidR="00074D55">
        <w:rPr>
          <w:lang w:bidi="ar-SA"/>
        </w:rPr>
        <w:t xml:space="preserve">. </w:t>
      </w:r>
      <w:r w:rsidR="00414B47" w:rsidRPr="00414B47">
        <w:rPr>
          <w:lang w:bidi="ar-SA"/>
        </w:rPr>
        <w:t xml:space="preserve">These flaws </w:t>
      </w:r>
      <w:r w:rsidR="00354704">
        <w:rPr>
          <w:lang w:bidi="ar-SA"/>
        </w:rPr>
        <w:t xml:space="preserve">had the effect of undermining confidence in the extent of the risk </w:t>
      </w:r>
      <w:r w:rsidR="006E0232">
        <w:rPr>
          <w:lang w:bidi="ar-SA"/>
        </w:rPr>
        <w:t>posed by</w:t>
      </w:r>
      <w:r w:rsidR="008A3355">
        <w:rPr>
          <w:lang w:bidi="ar-SA"/>
        </w:rPr>
        <w:t xml:space="preserve"> children </w:t>
      </w:r>
      <w:r w:rsidR="00354704">
        <w:rPr>
          <w:lang w:bidi="ar-SA"/>
        </w:rPr>
        <w:t>wh</w:t>
      </w:r>
      <w:r w:rsidR="008A3355">
        <w:rPr>
          <w:lang w:bidi="ar-SA"/>
        </w:rPr>
        <w:t>ose</w:t>
      </w:r>
      <w:r w:rsidR="00354704">
        <w:rPr>
          <w:lang w:bidi="ar-SA"/>
        </w:rPr>
        <w:t xml:space="preserve"> </w:t>
      </w:r>
      <w:r w:rsidR="00414B47" w:rsidRPr="00414B47">
        <w:rPr>
          <w:lang w:bidi="ar-SA"/>
        </w:rPr>
        <w:t xml:space="preserve">dietary exposure </w:t>
      </w:r>
      <w:r w:rsidR="008A3355">
        <w:rPr>
          <w:lang w:bidi="ar-SA"/>
        </w:rPr>
        <w:t>was above the HBGV</w:t>
      </w:r>
      <w:r w:rsidR="00414B47" w:rsidRPr="00414B47">
        <w:rPr>
          <w:lang w:bidi="ar-SA"/>
        </w:rPr>
        <w:t>.</w:t>
      </w:r>
      <w:r w:rsidR="00620FA3">
        <w:rPr>
          <w:lang w:bidi="ar-SA"/>
        </w:rPr>
        <w:t xml:space="preserve"> </w:t>
      </w:r>
      <w:r w:rsidR="00A7582D">
        <w:rPr>
          <w:lang w:bidi="ar-SA"/>
        </w:rPr>
        <w:t>On this basis</w:t>
      </w:r>
      <w:r w:rsidR="00E3347E">
        <w:rPr>
          <w:lang w:bidi="ar-SA"/>
        </w:rPr>
        <w:t>,</w:t>
      </w:r>
      <w:r w:rsidR="00A7582D">
        <w:rPr>
          <w:lang w:bidi="ar-SA"/>
        </w:rPr>
        <w:t xml:space="preserve"> the risk characterization conclusion is </w:t>
      </w:r>
      <w:r w:rsidR="00A7582D">
        <w:rPr>
          <w:szCs w:val="20"/>
        </w:rPr>
        <w:t xml:space="preserve">that </w:t>
      </w:r>
      <w:r w:rsidR="00A7582D" w:rsidRPr="00B0351E">
        <w:rPr>
          <w:szCs w:val="20"/>
        </w:rPr>
        <w:t xml:space="preserve">current levels of dietary sulphite exposure </w:t>
      </w:r>
      <w:r w:rsidR="00A7582D">
        <w:rPr>
          <w:szCs w:val="20"/>
        </w:rPr>
        <w:t xml:space="preserve">in Australia and New Zealand </w:t>
      </w:r>
      <w:r w:rsidR="00A7582D" w:rsidRPr="00B0351E">
        <w:rPr>
          <w:szCs w:val="20"/>
        </w:rPr>
        <w:t xml:space="preserve">are </w:t>
      </w:r>
      <w:r w:rsidR="00A7582D">
        <w:rPr>
          <w:szCs w:val="20"/>
        </w:rPr>
        <w:t xml:space="preserve">therefore </w:t>
      </w:r>
      <w:r w:rsidR="00A7582D" w:rsidRPr="00B0351E">
        <w:rPr>
          <w:szCs w:val="20"/>
        </w:rPr>
        <w:t xml:space="preserve">unlikely </w:t>
      </w:r>
      <w:r w:rsidR="00A7582D">
        <w:rPr>
          <w:szCs w:val="20"/>
        </w:rPr>
        <w:t xml:space="preserve">to pose a risk for consumers, including children. </w:t>
      </w:r>
    </w:p>
    <w:p w14:paraId="58A51462" w14:textId="6E4BE5E7" w:rsidR="004D186B" w:rsidRPr="00ED6D72" w:rsidRDefault="004D186B">
      <w:pPr>
        <w:rPr>
          <w:szCs w:val="20"/>
        </w:rPr>
      </w:pPr>
    </w:p>
    <w:p w14:paraId="586D9670" w14:textId="7D91A540" w:rsidR="003435AD" w:rsidRDefault="004D186B">
      <w:pPr>
        <w:rPr>
          <w:lang w:bidi="ar-SA"/>
        </w:rPr>
      </w:pPr>
      <w:r>
        <w:rPr>
          <w:lang w:bidi="ar-SA"/>
        </w:rPr>
        <w:t xml:space="preserve">This view is supported by a </w:t>
      </w:r>
      <w:r w:rsidRPr="00472F1E">
        <w:rPr>
          <w:lang w:bidi="ar-SA"/>
        </w:rPr>
        <w:t xml:space="preserve">Scientific Opinion </w:t>
      </w:r>
      <w:r>
        <w:rPr>
          <w:lang w:bidi="ar-SA"/>
        </w:rPr>
        <w:t xml:space="preserve">on sulphites issued by the </w:t>
      </w:r>
      <w:r w:rsidRPr="00472F1E">
        <w:rPr>
          <w:lang w:bidi="ar-SA"/>
        </w:rPr>
        <w:t xml:space="preserve">European Food Safety Authority </w:t>
      </w:r>
      <w:r>
        <w:rPr>
          <w:lang w:bidi="ar-SA"/>
        </w:rPr>
        <w:t xml:space="preserve">(EFSA) in April 2016. It concludes that </w:t>
      </w:r>
      <w:r w:rsidR="00A7582D">
        <w:rPr>
          <w:lang w:bidi="ar-SA"/>
        </w:rPr>
        <w:t xml:space="preserve">the </w:t>
      </w:r>
      <w:r>
        <w:rPr>
          <w:lang w:bidi="ar-SA"/>
        </w:rPr>
        <w:t xml:space="preserve">current toxicological database for sulphites is inadequate to support </w:t>
      </w:r>
      <w:r w:rsidR="00A7582D">
        <w:rPr>
          <w:lang w:bidi="ar-SA"/>
        </w:rPr>
        <w:t xml:space="preserve">the current JECFA </w:t>
      </w:r>
      <w:r>
        <w:rPr>
          <w:lang w:bidi="ar-SA"/>
        </w:rPr>
        <w:t>ADI</w:t>
      </w:r>
      <w:r w:rsidR="00A7582D">
        <w:rPr>
          <w:lang w:bidi="ar-SA"/>
        </w:rPr>
        <w:t>.</w:t>
      </w:r>
      <w:r>
        <w:rPr>
          <w:lang w:bidi="ar-SA"/>
        </w:rPr>
        <w:t xml:space="preserve"> The European Union rel</w:t>
      </w:r>
      <w:r w:rsidR="00E3347E">
        <w:rPr>
          <w:lang w:bidi="ar-SA"/>
        </w:rPr>
        <w:t>ies</w:t>
      </w:r>
      <w:r>
        <w:rPr>
          <w:lang w:bidi="ar-SA"/>
        </w:rPr>
        <w:t xml:space="preserve"> on the same ADI for sulphites. EFSA has recommended that that ADI be considered temporary pending the provision and evaluation of new toxicological data. Once new toxicological data is published</w:t>
      </w:r>
      <w:r w:rsidR="00E3347E">
        <w:rPr>
          <w:lang w:bidi="ar-SA"/>
        </w:rPr>
        <w:t>,</w:t>
      </w:r>
      <w:r>
        <w:rPr>
          <w:lang w:bidi="ar-SA"/>
        </w:rPr>
        <w:t xml:space="preserve"> it will be possible to establish a new ADI. It is likely that JECFA will be asked to reconsider the group ADI for sulphites at that time as well</w:t>
      </w:r>
      <w:r w:rsidR="00A7582D">
        <w:rPr>
          <w:lang w:bidi="ar-SA"/>
        </w:rPr>
        <w:t>.</w:t>
      </w:r>
    </w:p>
    <w:p w14:paraId="35D63436" w14:textId="77777777" w:rsidR="003435AD" w:rsidRDefault="003435AD">
      <w:pPr>
        <w:rPr>
          <w:lang w:bidi="ar-SA"/>
        </w:rPr>
      </w:pPr>
    </w:p>
    <w:p w14:paraId="6EA260E8" w14:textId="46377775" w:rsidR="00A011E9" w:rsidRDefault="00A011E9" w:rsidP="00CC1BFD">
      <w:pPr>
        <w:rPr>
          <w:lang w:bidi="ar-SA"/>
        </w:rPr>
      </w:pPr>
      <w:r>
        <w:rPr>
          <w:lang w:bidi="ar-SA"/>
        </w:rPr>
        <w:t>In light of the risk assessment</w:t>
      </w:r>
      <w:r>
        <w:rPr>
          <w:rFonts w:cs="Arial"/>
        </w:rPr>
        <w:t xml:space="preserve">, amendment of the Code is not considered to be warranted at this time. Existing risk management measures in the Code are considered appropriate. </w:t>
      </w:r>
      <w:r>
        <w:rPr>
          <w:lang w:val="en-US"/>
        </w:rPr>
        <w:t>Code requirements can be further reviewed in light of the outcomes of the above and any other international evaluations, when available</w:t>
      </w:r>
      <w:r>
        <w:rPr>
          <w:lang w:bidi="ar-SA"/>
        </w:rPr>
        <w:t>.</w:t>
      </w:r>
    </w:p>
    <w:p w14:paraId="70DADB9F" w14:textId="77777777" w:rsidR="00A011E9" w:rsidRDefault="00A011E9" w:rsidP="00CC1BFD">
      <w:pPr>
        <w:rPr>
          <w:lang w:bidi="ar-SA"/>
        </w:rPr>
      </w:pPr>
    </w:p>
    <w:p w14:paraId="25ECFF28" w14:textId="30460351" w:rsidR="00F62BE1" w:rsidRDefault="00A011E9" w:rsidP="00CC1BFD">
      <w:pPr>
        <w:rPr>
          <w:lang w:bidi="ar-SA"/>
        </w:rPr>
      </w:pPr>
      <w:r>
        <w:rPr>
          <w:lang w:bidi="ar-SA"/>
        </w:rPr>
        <w:t>For these reasons, FSANZ decided to abandon the Proposal.</w:t>
      </w:r>
    </w:p>
    <w:p w14:paraId="26282338" w14:textId="77777777" w:rsidR="00A441B5" w:rsidRDefault="00A441B5" w:rsidP="00CE0265">
      <w:bookmarkStart w:id="17" w:name="_Toc300933417"/>
      <w:r>
        <w:br w:type="page"/>
      </w:r>
    </w:p>
    <w:p w14:paraId="11E1E279" w14:textId="10A5DBBE" w:rsidR="002A5F8B" w:rsidRPr="000B6AF2" w:rsidRDefault="001F7D8C" w:rsidP="006A008E">
      <w:pPr>
        <w:pStyle w:val="Heading1"/>
      </w:pPr>
      <w:bookmarkStart w:id="18" w:name="_Toc451340582"/>
      <w:r>
        <w:lastRenderedPageBreak/>
        <w:t>1</w:t>
      </w:r>
      <w:r w:rsidR="001542D8">
        <w:tab/>
      </w:r>
      <w:r w:rsidR="002A5F8B" w:rsidRPr="000B6AF2">
        <w:t>Introduction</w:t>
      </w:r>
      <w:bookmarkEnd w:id="16"/>
      <w:bookmarkEnd w:id="17"/>
      <w:bookmarkEnd w:id="18"/>
    </w:p>
    <w:p w14:paraId="21B9F8A7" w14:textId="1B35ADC5" w:rsidR="001271A7" w:rsidRPr="00C62C28" w:rsidRDefault="00BD7824" w:rsidP="001271A7">
      <w:bookmarkStart w:id="19" w:name="_Toc300761891"/>
      <w:bookmarkStart w:id="20" w:name="_Toc300933420"/>
      <w:r>
        <w:t>B</w:t>
      </w:r>
      <w:r w:rsidR="001271A7" w:rsidRPr="00C62C28">
        <w:t>enzoates</w:t>
      </w:r>
      <w:r>
        <w:t xml:space="preserve"> and s</w:t>
      </w:r>
      <w:r w:rsidRPr="00BD7824">
        <w:t>ulphite</w:t>
      </w:r>
      <w:r>
        <w:t xml:space="preserve">s </w:t>
      </w:r>
      <w:r w:rsidR="001271A7" w:rsidRPr="00C62C28">
        <w:t>are used as preservatives in a wide range of foods</w:t>
      </w:r>
      <w:r w:rsidR="002E095C" w:rsidRPr="002E095C">
        <w:t xml:space="preserve"> to limit microbial spoilage</w:t>
      </w:r>
      <w:r w:rsidR="00625E86" w:rsidRPr="002E095C">
        <w:t>.</w:t>
      </w:r>
      <w:r w:rsidR="00074D55">
        <w:t xml:space="preserve"> </w:t>
      </w:r>
      <w:r w:rsidR="001271A7" w:rsidRPr="00C62C28">
        <w:t xml:space="preserve">The permissions for these substances in the </w:t>
      </w:r>
      <w:r w:rsidR="008B3388" w:rsidRPr="00454225">
        <w:rPr>
          <w:i/>
        </w:rPr>
        <w:t xml:space="preserve">Australia New Zealand </w:t>
      </w:r>
      <w:r w:rsidR="00BB72AF" w:rsidRPr="008B3388">
        <w:rPr>
          <w:i/>
        </w:rPr>
        <w:t xml:space="preserve">Food Standards </w:t>
      </w:r>
      <w:r w:rsidR="001271A7" w:rsidRPr="008B3388">
        <w:rPr>
          <w:i/>
        </w:rPr>
        <w:t>Code</w:t>
      </w:r>
      <w:r w:rsidR="001271A7" w:rsidRPr="00C62C28">
        <w:t xml:space="preserve"> </w:t>
      </w:r>
      <w:r w:rsidR="008B3388">
        <w:t xml:space="preserve">(the Code) </w:t>
      </w:r>
      <w:r w:rsidR="001271A7" w:rsidRPr="00C62C28">
        <w:t>are similar to those in the Codex Alimentarius</w:t>
      </w:r>
      <w:r w:rsidR="00DB527E">
        <w:t xml:space="preserve"> General Standards for Food Additives</w:t>
      </w:r>
      <w:r w:rsidR="00BB5C1E">
        <w:t xml:space="preserve"> </w:t>
      </w:r>
      <w:r w:rsidR="00BB5C1E" w:rsidRPr="00BB5C1E">
        <w:t>(GSFA)</w:t>
      </w:r>
      <w:r w:rsidR="0080060E">
        <w:rPr>
          <w:rStyle w:val="FootnoteReference"/>
        </w:rPr>
        <w:footnoteReference w:id="2"/>
      </w:r>
      <w:r w:rsidR="00466CAB">
        <w:t>,</w:t>
      </w:r>
      <w:r w:rsidR="002E095C" w:rsidRPr="002E095C">
        <w:t xml:space="preserve"> established by JECFA in 1974</w:t>
      </w:r>
      <w:r w:rsidR="001271A7" w:rsidRPr="00C62C28">
        <w:t>.</w:t>
      </w:r>
    </w:p>
    <w:p w14:paraId="7684D716" w14:textId="77777777" w:rsidR="001271A7" w:rsidRPr="00C62C28" w:rsidRDefault="001271A7" w:rsidP="001271A7"/>
    <w:p w14:paraId="2DF9BEEE" w14:textId="59467C37" w:rsidR="00466CAB" w:rsidRPr="00466CAB" w:rsidRDefault="001271A7" w:rsidP="00466CAB">
      <w:r w:rsidRPr="00C62C28">
        <w:t xml:space="preserve">The </w:t>
      </w:r>
      <w:r w:rsidR="00B3157D">
        <w:t>21</w:t>
      </w:r>
      <w:r w:rsidR="00B3157D" w:rsidRPr="00B3157D">
        <w:rPr>
          <w:vertAlign w:val="superscript"/>
        </w:rPr>
        <w:t>st</w:t>
      </w:r>
      <w:r w:rsidR="007E755C" w:rsidRPr="007E755C">
        <w:t xml:space="preserve"> Australian Total Diet Study </w:t>
      </w:r>
      <w:r w:rsidR="007E755C">
        <w:t>(</w:t>
      </w:r>
      <w:r w:rsidRPr="00C62C28">
        <w:t>ATDS</w:t>
      </w:r>
      <w:r w:rsidR="007E755C">
        <w:t>)</w:t>
      </w:r>
      <w:r w:rsidRPr="00C62C28">
        <w:t xml:space="preserve"> </w:t>
      </w:r>
      <w:r w:rsidR="00466CAB" w:rsidRPr="00466CAB">
        <w:rPr>
          <w:vertAlign w:val="superscript"/>
        </w:rPr>
        <w:footnoteReference w:id="3"/>
      </w:r>
      <w:r w:rsidR="00466CAB" w:rsidRPr="00466CAB">
        <w:t xml:space="preserve"> </w:t>
      </w:r>
      <w:r w:rsidRPr="00C62C28">
        <w:t xml:space="preserve">identified a potential public health and safety concern for </w:t>
      </w:r>
      <w:r w:rsidR="00BD7824" w:rsidRPr="00BD7824">
        <w:t xml:space="preserve">benzoates </w:t>
      </w:r>
      <w:r w:rsidR="00BD7824">
        <w:t xml:space="preserve">and </w:t>
      </w:r>
      <w:r w:rsidRPr="00C62C28">
        <w:t>sulphites with estimated dietary exposures indicating some age groups may have been exceeding</w:t>
      </w:r>
      <w:r w:rsidR="00053A9D">
        <w:t xml:space="preserve"> the</w:t>
      </w:r>
      <w:r w:rsidRPr="00C62C28">
        <w:t xml:space="preserve"> relevant </w:t>
      </w:r>
      <w:r w:rsidR="007E755C">
        <w:t>health</w:t>
      </w:r>
      <w:r w:rsidR="00BB72AF">
        <w:t>-</w:t>
      </w:r>
      <w:r w:rsidR="007E755C">
        <w:t>based guidance value (</w:t>
      </w:r>
      <w:r w:rsidR="00DB527E">
        <w:t>HBGV</w:t>
      </w:r>
      <w:r w:rsidR="007E755C">
        <w:t>)</w:t>
      </w:r>
      <w:r w:rsidR="00BD7824">
        <w:t>.</w:t>
      </w:r>
    </w:p>
    <w:p w14:paraId="2F1693AD" w14:textId="77777777" w:rsidR="00466CAB" w:rsidRDefault="00466CAB" w:rsidP="00B3157D"/>
    <w:p w14:paraId="5AB26459" w14:textId="500E297A" w:rsidR="001271A7" w:rsidRDefault="00466CAB" w:rsidP="00C904B2">
      <w:r w:rsidRPr="00C904B2">
        <w:t>After the findings of the 21</w:t>
      </w:r>
      <w:r w:rsidRPr="00C904B2">
        <w:rPr>
          <w:vertAlign w:val="superscript"/>
        </w:rPr>
        <w:t>st</w:t>
      </w:r>
      <w:r w:rsidRPr="00C904B2">
        <w:t xml:space="preserve"> ATDS </w:t>
      </w:r>
      <w:r w:rsidR="00000FA6">
        <w:t xml:space="preserve">were released, </w:t>
      </w:r>
      <w:r w:rsidR="00053A9D">
        <w:t xml:space="preserve">the </w:t>
      </w:r>
      <w:r w:rsidR="00A441B5">
        <w:t xml:space="preserve">then </w:t>
      </w:r>
      <w:r w:rsidR="007E755C" w:rsidRPr="007E755C">
        <w:t xml:space="preserve">New Zealand Food Safety Authority </w:t>
      </w:r>
      <w:r w:rsidR="007E755C">
        <w:t>(</w:t>
      </w:r>
      <w:r w:rsidRPr="00C904B2">
        <w:t>NZFSA</w:t>
      </w:r>
      <w:r w:rsidR="007E755C">
        <w:t>)</w:t>
      </w:r>
      <w:r w:rsidRPr="00C904B2">
        <w:t xml:space="preserve"> commissioned a targeted survey of key preservative-containing foods on sale in New Zealand and conducted its own safety assessment</w:t>
      </w:r>
      <w:r w:rsidR="00074D55" w:rsidRPr="00C904B2">
        <w:t xml:space="preserve">. </w:t>
      </w:r>
      <w:r w:rsidRPr="00C904B2">
        <w:t>This study</w:t>
      </w:r>
      <w:r w:rsidR="007E755C">
        <w:t xml:space="preserve"> by NZFSA</w:t>
      </w:r>
      <w:r w:rsidRPr="00C904B2">
        <w:t xml:space="preserve"> indicated that there was an exceedance of the HBGV for sulphites for </w:t>
      </w:r>
      <w:r w:rsidR="00ED57EE" w:rsidRPr="00ED57EE">
        <w:t>boys aged 5-12 years</w:t>
      </w:r>
      <w:r w:rsidR="00074D55" w:rsidRPr="00C904B2">
        <w:t xml:space="preserve">. </w:t>
      </w:r>
    </w:p>
    <w:p w14:paraId="2FD573E0" w14:textId="77777777" w:rsidR="00C904B2" w:rsidRPr="00C62C28" w:rsidRDefault="00C904B2" w:rsidP="00C904B2"/>
    <w:p w14:paraId="473B83AF" w14:textId="00CA6F9D" w:rsidR="008B1B0F" w:rsidRDefault="00D84170" w:rsidP="00D7757C">
      <w:pPr>
        <w:rPr>
          <w:lang w:eastAsia="en-AU" w:bidi="ar-SA"/>
        </w:rPr>
      </w:pPr>
      <w:r>
        <w:rPr>
          <w:lang w:eastAsia="en-AU" w:bidi="ar-SA"/>
        </w:rPr>
        <w:t>P298</w:t>
      </w:r>
      <w:r w:rsidR="00C62C28" w:rsidRPr="00C62C28">
        <w:rPr>
          <w:lang w:eastAsia="en-AU" w:bidi="ar-SA"/>
        </w:rPr>
        <w:t xml:space="preserve"> </w:t>
      </w:r>
      <w:r w:rsidR="00BB72AF">
        <w:rPr>
          <w:lang w:eastAsia="en-AU" w:bidi="ar-SA"/>
        </w:rPr>
        <w:t xml:space="preserve">was </w:t>
      </w:r>
      <w:r w:rsidR="00A441B5">
        <w:rPr>
          <w:lang w:eastAsia="en-AU" w:bidi="ar-SA"/>
        </w:rPr>
        <w:t xml:space="preserve">prepared </w:t>
      </w:r>
      <w:r w:rsidR="00BB72AF">
        <w:rPr>
          <w:lang w:eastAsia="en-AU" w:bidi="ar-SA"/>
        </w:rPr>
        <w:t>in response to the</w:t>
      </w:r>
      <w:r w:rsidR="00A441B5">
        <w:rPr>
          <w:lang w:eastAsia="en-AU" w:bidi="ar-SA"/>
        </w:rPr>
        <w:t>se</w:t>
      </w:r>
      <w:r w:rsidR="00BB72AF">
        <w:rPr>
          <w:lang w:eastAsia="en-AU" w:bidi="ar-SA"/>
        </w:rPr>
        <w:t xml:space="preserve"> surveys </w:t>
      </w:r>
      <w:r w:rsidR="00C62C28" w:rsidRPr="00C62C28">
        <w:rPr>
          <w:lang w:eastAsia="en-AU" w:bidi="ar-SA"/>
        </w:rPr>
        <w:t xml:space="preserve">to consider </w:t>
      </w:r>
      <w:r w:rsidR="00BB72AF">
        <w:rPr>
          <w:lang w:eastAsia="en-AU" w:bidi="ar-SA"/>
        </w:rPr>
        <w:t>p</w:t>
      </w:r>
      <w:r w:rsidR="00C62C28" w:rsidRPr="00C62C28">
        <w:rPr>
          <w:lang w:eastAsia="en-AU" w:bidi="ar-SA"/>
        </w:rPr>
        <w:t>ermissions in the Code for benzoates and sulphites</w:t>
      </w:r>
      <w:r w:rsidR="00C904B2">
        <w:rPr>
          <w:lang w:eastAsia="en-AU" w:bidi="ar-SA"/>
        </w:rPr>
        <w:t>.</w:t>
      </w:r>
    </w:p>
    <w:p w14:paraId="4701A4C9" w14:textId="59AC5AE0" w:rsidR="00C904B2" w:rsidRDefault="00C904B2" w:rsidP="00D7757C"/>
    <w:p w14:paraId="5074466E" w14:textId="712899A6" w:rsidR="00ED57EE" w:rsidRDefault="00757F82" w:rsidP="00053A9D">
      <w:pPr>
        <w:rPr>
          <w:rFonts w:cs="Arial"/>
          <w:lang w:bidi="ar-SA"/>
        </w:rPr>
      </w:pPr>
      <w:r w:rsidRPr="00757F82">
        <w:t>The Initial</w:t>
      </w:r>
      <w:r w:rsidRPr="00757F82">
        <w:rPr>
          <w:lang w:eastAsia="en-AU" w:bidi="ar-SA"/>
        </w:rPr>
        <w:t xml:space="preserve"> Assessment Report (IAR) mainly </w:t>
      </w:r>
      <w:r w:rsidR="00BB72AF">
        <w:rPr>
          <w:lang w:eastAsia="en-AU" w:bidi="ar-SA"/>
        </w:rPr>
        <w:t xml:space="preserve">considered what foods </w:t>
      </w:r>
      <w:r w:rsidRPr="00757F82">
        <w:rPr>
          <w:lang w:eastAsia="en-AU" w:bidi="ar-SA"/>
        </w:rPr>
        <w:t>could have lower levels of sulphites, or use repla</w:t>
      </w:r>
      <w:r>
        <w:rPr>
          <w:lang w:eastAsia="en-AU" w:bidi="ar-SA"/>
        </w:rPr>
        <w:t>cement preservatives</w:t>
      </w:r>
      <w:r w:rsidR="00074D55">
        <w:rPr>
          <w:lang w:eastAsia="en-AU" w:bidi="ar-SA"/>
        </w:rPr>
        <w:t xml:space="preserve">. </w:t>
      </w:r>
      <w:r w:rsidR="001271A7" w:rsidRPr="008B1B0F">
        <w:rPr>
          <w:lang w:eastAsia="en-AU" w:bidi="ar-SA"/>
        </w:rPr>
        <w:t>Since the release in 2005</w:t>
      </w:r>
      <w:r w:rsidR="00BB72AF">
        <w:rPr>
          <w:lang w:eastAsia="en-AU" w:bidi="ar-SA"/>
        </w:rPr>
        <w:t xml:space="preserve"> of the IAR</w:t>
      </w:r>
      <w:r w:rsidR="001271A7" w:rsidRPr="008B1B0F">
        <w:rPr>
          <w:lang w:eastAsia="en-AU" w:bidi="ar-SA"/>
        </w:rPr>
        <w:t xml:space="preserve">, FSANZ has undertaken a number of activities to help </w:t>
      </w:r>
      <w:r>
        <w:rPr>
          <w:lang w:eastAsia="en-AU" w:bidi="ar-SA"/>
        </w:rPr>
        <w:t xml:space="preserve">assess this </w:t>
      </w:r>
      <w:r w:rsidR="007E755C">
        <w:rPr>
          <w:lang w:eastAsia="en-AU" w:bidi="ar-SA"/>
        </w:rPr>
        <w:t>Proposal</w:t>
      </w:r>
      <w:r w:rsidR="00BB72AF">
        <w:rPr>
          <w:lang w:eastAsia="en-AU" w:bidi="ar-SA"/>
        </w:rPr>
        <w:t xml:space="preserve"> </w:t>
      </w:r>
      <w:r w:rsidR="00BB72AF">
        <w:rPr>
          <w:rFonts w:cs="Arial"/>
          <w:lang w:bidi="ar-SA"/>
        </w:rPr>
        <w:t>including</w:t>
      </w:r>
      <w:r w:rsidR="00ED57EE" w:rsidRPr="00ED57EE">
        <w:rPr>
          <w:rFonts w:cs="Arial"/>
          <w:lang w:bidi="ar-SA"/>
        </w:rPr>
        <w:t>:</w:t>
      </w:r>
    </w:p>
    <w:p w14:paraId="5C399671" w14:textId="77777777" w:rsidR="00BB72AF" w:rsidRPr="00ED57EE" w:rsidRDefault="00BB72AF" w:rsidP="00053A9D">
      <w:pPr>
        <w:rPr>
          <w:rFonts w:cs="Arial"/>
          <w:lang w:bidi="ar-SA"/>
        </w:rPr>
      </w:pPr>
    </w:p>
    <w:p w14:paraId="4C4B1985" w14:textId="6A17DD6E" w:rsidR="002A47E1" w:rsidRPr="00ED57EE" w:rsidRDefault="00B54641" w:rsidP="00CE0265">
      <w:pPr>
        <w:pStyle w:val="FSBullet1"/>
      </w:pPr>
      <w:r w:rsidRPr="00ED57EE">
        <w:t>collecti</w:t>
      </w:r>
      <w:r w:rsidR="00BB72AF">
        <w:t>ng a</w:t>
      </w:r>
      <w:r w:rsidR="001271A7" w:rsidRPr="00ED57EE">
        <w:t>nd analys</w:t>
      </w:r>
      <w:r w:rsidR="00BB72AF">
        <w:t xml:space="preserve">ing </w:t>
      </w:r>
      <w:r w:rsidR="001271A7" w:rsidRPr="00ED57EE">
        <w:t>additional food samples in Australia for foods that make a major contribution to sulphite dietary exposure</w:t>
      </w:r>
    </w:p>
    <w:p w14:paraId="7BFD18A2" w14:textId="41FFE73D" w:rsidR="001271A7" w:rsidRPr="00F77C71" w:rsidRDefault="00B54641" w:rsidP="00CE0265">
      <w:pPr>
        <w:pStyle w:val="FSBullet1"/>
      </w:pPr>
      <w:r>
        <w:t xml:space="preserve">measuring and </w:t>
      </w:r>
      <w:r w:rsidR="00EA3667">
        <w:t>comparing</w:t>
      </w:r>
      <w:r w:rsidR="001271A7" w:rsidRPr="00F77C71">
        <w:t xml:space="preserve"> sulphite levels with declared remaining shelf life of dried apricots and raw meat sausages</w:t>
      </w:r>
    </w:p>
    <w:p w14:paraId="37A70C18" w14:textId="236CEA0D" w:rsidR="001271A7" w:rsidRPr="00F77C71" w:rsidRDefault="001271A7" w:rsidP="00CE0265">
      <w:pPr>
        <w:pStyle w:val="FSBullet1"/>
        <w:rPr>
          <w:lang w:eastAsia="en-AU"/>
        </w:rPr>
      </w:pPr>
      <w:r w:rsidRPr="00F77C71">
        <w:t xml:space="preserve">commissioning a report from </w:t>
      </w:r>
      <w:r w:rsidR="00165D58" w:rsidRPr="00F77C71">
        <w:t>the South Australian Research and Development Institute (</w:t>
      </w:r>
      <w:r w:rsidRPr="00F77C71">
        <w:t>SARDI</w:t>
      </w:r>
      <w:r w:rsidR="00165D58" w:rsidRPr="00F77C71">
        <w:t>)</w:t>
      </w:r>
      <w:r w:rsidRPr="00F77C71">
        <w:t xml:space="preserve"> on the use of and alternatives to sulphites in raw</w:t>
      </w:r>
      <w:r w:rsidRPr="00F77C71">
        <w:rPr>
          <w:lang w:eastAsia="en-AU"/>
        </w:rPr>
        <w:t xml:space="preserve"> meat sausages</w:t>
      </w:r>
    </w:p>
    <w:p w14:paraId="5023CF47" w14:textId="71E22DEF" w:rsidR="00F77C71" w:rsidRPr="00F77C71" w:rsidRDefault="00F47865" w:rsidP="00CE0265">
      <w:pPr>
        <w:pStyle w:val="FSBullet1"/>
        <w:rPr>
          <w:lang w:eastAsia="en-AU"/>
        </w:rPr>
      </w:pPr>
      <w:r>
        <w:rPr>
          <w:lang w:eastAsia="en-AU"/>
        </w:rPr>
        <w:t xml:space="preserve">updating the dietary modelling to include the most recent </w:t>
      </w:r>
      <w:r w:rsidR="001271A7" w:rsidRPr="00F77C71">
        <w:rPr>
          <w:lang w:eastAsia="en-AU"/>
        </w:rPr>
        <w:t xml:space="preserve">Australian </w:t>
      </w:r>
      <w:r>
        <w:rPr>
          <w:lang w:eastAsia="en-AU"/>
        </w:rPr>
        <w:t xml:space="preserve">and New Zealand </w:t>
      </w:r>
      <w:r w:rsidR="001271A7" w:rsidRPr="00F77C71">
        <w:rPr>
          <w:lang w:eastAsia="en-AU"/>
        </w:rPr>
        <w:t>children’s consumption data</w:t>
      </w:r>
    </w:p>
    <w:p w14:paraId="3826ACDB" w14:textId="6FB74B80" w:rsidR="00F77C71" w:rsidRPr="00F77C71" w:rsidRDefault="00F77C71" w:rsidP="00CE0265">
      <w:pPr>
        <w:pStyle w:val="FSBullet1"/>
        <w:rPr>
          <w:lang w:eastAsia="en-AU"/>
        </w:rPr>
      </w:pPr>
      <w:r w:rsidRPr="00F77C71">
        <w:rPr>
          <w:lang w:eastAsia="en-AU"/>
        </w:rPr>
        <w:t xml:space="preserve">extensive consultation with the industry sectors </w:t>
      </w:r>
      <w:r w:rsidR="00BB72AF">
        <w:rPr>
          <w:lang w:eastAsia="en-AU"/>
        </w:rPr>
        <w:t xml:space="preserve">that </w:t>
      </w:r>
      <w:r w:rsidRPr="00F77C71">
        <w:rPr>
          <w:lang w:eastAsia="en-AU"/>
        </w:rPr>
        <w:t>could be impacted</w:t>
      </w:r>
      <w:r w:rsidR="0062571E">
        <w:rPr>
          <w:lang w:eastAsia="en-AU"/>
        </w:rPr>
        <w:t xml:space="preserve"> by this </w:t>
      </w:r>
      <w:r w:rsidR="007E755C">
        <w:rPr>
          <w:lang w:eastAsia="en-AU"/>
        </w:rPr>
        <w:t>Proposal</w:t>
      </w:r>
    </w:p>
    <w:p w14:paraId="3AA718ED" w14:textId="577D745F" w:rsidR="007018CA" w:rsidRDefault="00BB72AF" w:rsidP="00CE0265">
      <w:pPr>
        <w:pStyle w:val="FSBullet1"/>
        <w:rPr>
          <w:lang w:eastAsia="en-AU"/>
        </w:rPr>
      </w:pPr>
      <w:r>
        <w:rPr>
          <w:lang w:eastAsia="en-AU"/>
        </w:rPr>
        <w:t>c</w:t>
      </w:r>
      <w:r w:rsidR="00F77C71" w:rsidRPr="00F77C71">
        <w:rPr>
          <w:lang w:eastAsia="en-AU"/>
        </w:rPr>
        <w:t xml:space="preserve">ommissioning </w:t>
      </w:r>
      <w:r w:rsidR="0043145A">
        <w:rPr>
          <w:lang w:eastAsia="en-AU"/>
        </w:rPr>
        <w:t xml:space="preserve">a report into the </w:t>
      </w:r>
      <w:r w:rsidR="0043145A" w:rsidRPr="0043145A">
        <w:rPr>
          <w:lang w:eastAsia="en-AU"/>
        </w:rPr>
        <w:t xml:space="preserve">cost of possible adverse outcomes arising from an exceedance of the </w:t>
      </w:r>
      <w:r w:rsidR="00651DAC" w:rsidRPr="00651DAC">
        <w:rPr>
          <w:lang w:eastAsia="en-AU"/>
        </w:rPr>
        <w:t xml:space="preserve">acceptable daily intake </w:t>
      </w:r>
      <w:r w:rsidR="00651DAC">
        <w:rPr>
          <w:lang w:eastAsia="en-AU"/>
        </w:rPr>
        <w:t>(</w:t>
      </w:r>
      <w:r w:rsidR="0043145A" w:rsidRPr="0043145A">
        <w:rPr>
          <w:lang w:eastAsia="en-AU"/>
        </w:rPr>
        <w:t>ADI</w:t>
      </w:r>
      <w:r w:rsidR="00651DAC">
        <w:rPr>
          <w:lang w:eastAsia="en-AU"/>
        </w:rPr>
        <w:t>)</w:t>
      </w:r>
    </w:p>
    <w:p w14:paraId="719DA680" w14:textId="1013A1D8" w:rsidR="005757E6" w:rsidRPr="005757E6" w:rsidRDefault="007018CA" w:rsidP="00454225">
      <w:pPr>
        <w:pStyle w:val="FSBullet1"/>
        <w:rPr>
          <w:lang w:eastAsia="en-AU"/>
        </w:rPr>
      </w:pPr>
      <w:proofErr w:type="gramStart"/>
      <w:r>
        <w:rPr>
          <w:lang w:eastAsia="en-AU"/>
        </w:rPr>
        <w:t>the</w:t>
      </w:r>
      <w:proofErr w:type="gramEnd"/>
      <w:r>
        <w:rPr>
          <w:lang w:eastAsia="en-AU"/>
        </w:rPr>
        <w:t xml:space="preserve"> </w:t>
      </w:r>
      <w:r w:rsidR="008A72B8">
        <w:rPr>
          <w:lang w:eastAsia="en-AU"/>
        </w:rPr>
        <w:t>fund</w:t>
      </w:r>
      <w:r w:rsidR="002619E8">
        <w:rPr>
          <w:lang w:eastAsia="en-AU"/>
        </w:rPr>
        <w:t>ing</w:t>
      </w:r>
      <w:r w:rsidR="008A72B8">
        <w:rPr>
          <w:lang w:eastAsia="en-AU"/>
        </w:rPr>
        <w:t xml:space="preserve"> </w:t>
      </w:r>
      <w:r>
        <w:rPr>
          <w:lang w:eastAsia="en-AU"/>
        </w:rPr>
        <w:t xml:space="preserve">of </w:t>
      </w:r>
      <w:r w:rsidR="008A72B8">
        <w:rPr>
          <w:lang w:eastAsia="en-AU"/>
        </w:rPr>
        <w:t>a dose range finding study to gain greater clarity around the current ADI for sulphites in food</w:t>
      </w:r>
      <w:r w:rsidR="00BB72AF">
        <w:rPr>
          <w:lang w:eastAsia="en-AU"/>
        </w:rPr>
        <w:t>.</w:t>
      </w:r>
    </w:p>
    <w:p w14:paraId="37FECFBD" w14:textId="77777777" w:rsidR="007E755C" w:rsidRDefault="007E755C" w:rsidP="005757E6">
      <w:pPr>
        <w:rPr>
          <w:lang w:eastAsia="en-AU" w:bidi="ar-SA"/>
        </w:rPr>
      </w:pPr>
    </w:p>
    <w:p w14:paraId="7612C723" w14:textId="571AEF92" w:rsidR="00B16C53" w:rsidRDefault="005757E6" w:rsidP="005757E6">
      <w:pPr>
        <w:rPr>
          <w:lang w:eastAsia="en-AU" w:bidi="ar-SA"/>
        </w:rPr>
      </w:pPr>
      <w:r>
        <w:rPr>
          <w:lang w:eastAsia="en-AU" w:bidi="ar-SA"/>
        </w:rPr>
        <w:t>FSANZ identified sausages and dried fruit as the food products where reductions in levels would make the most significant contribution to reducing sulphite exposure</w:t>
      </w:r>
      <w:r w:rsidR="009E1BDC">
        <w:rPr>
          <w:lang w:eastAsia="en-AU" w:bidi="ar-SA"/>
        </w:rPr>
        <w:t xml:space="preserve"> for young children</w:t>
      </w:r>
      <w:r w:rsidR="00074D55">
        <w:rPr>
          <w:lang w:eastAsia="en-AU" w:bidi="ar-SA"/>
        </w:rPr>
        <w:t xml:space="preserve">. </w:t>
      </w:r>
      <w:r>
        <w:rPr>
          <w:lang w:eastAsia="en-AU" w:bidi="ar-SA"/>
        </w:rPr>
        <w:t>Therefore</w:t>
      </w:r>
      <w:r w:rsidR="00E3347E">
        <w:rPr>
          <w:lang w:eastAsia="en-AU" w:bidi="ar-SA"/>
        </w:rPr>
        <w:t>,</w:t>
      </w:r>
      <w:r>
        <w:rPr>
          <w:lang w:eastAsia="en-AU" w:bidi="ar-SA"/>
        </w:rPr>
        <w:t xml:space="preserve"> </w:t>
      </w:r>
      <w:r w:rsidR="00A7799B">
        <w:rPr>
          <w:lang w:eastAsia="en-AU" w:bidi="ar-SA"/>
        </w:rPr>
        <w:t xml:space="preserve">FSANZ </w:t>
      </w:r>
      <w:r w:rsidR="00A011E9">
        <w:rPr>
          <w:lang w:eastAsia="en-AU" w:bidi="ar-SA"/>
        </w:rPr>
        <w:t>focussed</w:t>
      </w:r>
      <w:r>
        <w:rPr>
          <w:lang w:eastAsia="en-AU" w:bidi="ar-SA"/>
        </w:rPr>
        <w:t xml:space="preserve"> on these food</w:t>
      </w:r>
      <w:r w:rsidR="00BB72AF">
        <w:rPr>
          <w:lang w:eastAsia="en-AU" w:bidi="ar-SA"/>
        </w:rPr>
        <w:t>s</w:t>
      </w:r>
      <w:r>
        <w:rPr>
          <w:lang w:eastAsia="en-AU" w:bidi="ar-SA"/>
        </w:rPr>
        <w:t>.</w:t>
      </w:r>
    </w:p>
    <w:p w14:paraId="5790FDB6" w14:textId="5EDBD5E9" w:rsidR="0053464E" w:rsidRPr="002E55CE" w:rsidRDefault="001F7D8C" w:rsidP="00E26104">
      <w:pPr>
        <w:pStyle w:val="Heading2"/>
      </w:pPr>
      <w:bookmarkStart w:id="21" w:name="_Toc451340583"/>
      <w:r w:rsidRPr="002E55CE">
        <w:t>1</w:t>
      </w:r>
      <w:r w:rsidR="00EA7E7A" w:rsidRPr="002E55CE">
        <w:t>.1</w:t>
      </w:r>
      <w:r w:rsidR="0053464E" w:rsidRPr="002E55CE">
        <w:tab/>
        <w:t xml:space="preserve">The </w:t>
      </w:r>
      <w:bookmarkEnd w:id="19"/>
      <w:bookmarkEnd w:id="20"/>
      <w:r w:rsidR="007E755C">
        <w:t>proposal</w:t>
      </w:r>
      <w:bookmarkEnd w:id="21"/>
    </w:p>
    <w:p w14:paraId="731895DF" w14:textId="090EB44C" w:rsidR="007D2B5C" w:rsidRDefault="007D2B5C" w:rsidP="002E55CE">
      <w:pPr>
        <w:widowControl/>
        <w:rPr>
          <w:rFonts w:cs="Arial"/>
          <w:szCs w:val="22"/>
          <w:lang w:eastAsia="en-AU" w:bidi="ar-SA"/>
        </w:rPr>
      </w:pPr>
      <w:r w:rsidRPr="00DE6C26">
        <w:rPr>
          <w:rFonts w:cs="Arial"/>
          <w:szCs w:val="22"/>
          <w:lang w:eastAsia="en-AU" w:bidi="ar-SA"/>
        </w:rPr>
        <w:t xml:space="preserve">FSANZ prepared this </w:t>
      </w:r>
      <w:r w:rsidR="007E755C">
        <w:rPr>
          <w:rFonts w:cs="Arial"/>
          <w:szCs w:val="22"/>
          <w:lang w:eastAsia="en-AU" w:bidi="ar-SA"/>
        </w:rPr>
        <w:t>Proposal</w:t>
      </w:r>
      <w:r w:rsidRPr="00DE6C26">
        <w:rPr>
          <w:rFonts w:cs="Arial"/>
          <w:szCs w:val="22"/>
          <w:lang w:eastAsia="en-AU" w:bidi="ar-SA"/>
        </w:rPr>
        <w:t xml:space="preserve"> to:</w:t>
      </w:r>
    </w:p>
    <w:p w14:paraId="439E610A" w14:textId="77777777" w:rsidR="00A441B5" w:rsidRPr="00DE6C26" w:rsidRDefault="00A441B5" w:rsidP="002E55CE">
      <w:pPr>
        <w:widowControl/>
        <w:rPr>
          <w:rFonts w:cs="Arial"/>
          <w:szCs w:val="22"/>
          <w:lang w:eastAsia="en-AU" w:bidi="ar-SA"/>
        </w:rPr>
      </w:pPr>
    </w:p>
    <w:p w14:paraId="0C89BE18" w14:textId="149271B2" w:rsidR="007D2B5C" w:rsidRPr="00BD7C72" w:rsidRDefault="007D2B5C" w:rsidP="00CE0265">
      <w:pPr>
        <w:pStyle w:val="FSBullet1"/>
      </w:pPr>
      <w:proofErr w:type="gramStart"/>
      <w:r w:rsidRPr="00BD7C72">
        <w:t>consider</w:t>
      </w:r>
      <w:proofErr w:type="gramEnd"/>
      <w:r w:rsidRPr="00BD7C72">
        <w:t xml:space="preserve"> the potential public health and safety risks associated with exceedance of the </w:t>
      </w:r>
      <w:r w:rsidR="00D83879" w:rsidRPr="00BD7C72">
        <w:t xml:space="preserve">relevant </w:t>
      </w:r>
      <w:r w:rsidR="00A75952" w:rsidRPr="00BD7C72">
        <w:t>HBGV</w:t>
      </w:r>
      <w:r w:rsidRPr="00BD7C72">
        <w:t xml:space="preserve"> for </w:t>
      </w:r>
      <w:r w:rsidR="007018CA" w:rsidRPr="00BD7C72">
        <w:t xml:space="preserve">benzoates and </w:t>
      </w:r>
      <w:r w:rsidRPr="00BD7C72">
        <w:t>sulphites for some population sub-groups</w:t>
      </w:r>
      <w:r w:rsidR="00B10158" w:rsidRPr="00BD7C72">
        <w:t xml:space="preserve">. </w:t>
      </w:r>
    </w:p>
    <w:p w14:paraId="1B4E6275" w14:textId="57CF48B0" w:rsidR="00A441B5" w:rsidRDefault="007D2B5C" w:rsidP="00A441B5">
      <w:pPr>
        <w:pStyle w:val="FSBullet1"/>
        <w:rPr>
          <w:lang w:eastAsia="en-AU"/>
        </w:rPr>
      </w:pPr>
      <w:proofErr w:type="gramStart"/>
      <w:r w:rsidRPr="00DE6C26">
        <w:rPr>
          <w:lang w:eastAsia="en-AU"/>
        </w:rPr>
        <w:t>where</w:t>
      </w:r>
      <w:proofErr w:type="gramEnd"/>
      <w:r w:rsidRPr="00DE6C26">
        <w:rPr>
          <w:lang w:eastAsia="en-AU"/>
        </w:rPr>
        <w:t xml:space="preserve"> appropriate, develop risk management strategies to manage these risks, including</w:t>
      </w:r>
      <w:r w:rsidR="00A75952">
        <w:rPr>
          <w:lang w:eastAsia="en-AU"/>
        </w:rPr>
        <w:t xml:space="preserve"> the</w:t>
      </w:r>
      <w:r w:rsidRPr="00DE6C26">
        <w:rPr>
          <w:lang w:eastAsia="en-AU"/>
        </w:rPr>
        <w:t xml:space="preserve"> consideration of a need for </w:t>
      </w:r>
      <w:r w:rsidR="009E1BDC">
        <w:rPr>
          <w:lang w:eastAsia="en-AU"/>
        </w:rPr>
        <w:t xml:space="preserve">amended </w:t>
      </w:r>
      <w:r w:rsidRPr="00DE6C26">
        <w:rPr>
          <w:lang w:eastAsia="en-AU"/>
        </w:rPr>
        <w:t>food regulatory measures in the Code</w:t>
      </w:r>
      <w:r w:rsidR="00BB72AF">
        <w:rPr>
          <w:lang w:eastAsia="en-AU"/>
        </w:rPr>
        <w:t>.</w:t>
      </w:r>
    </w:p>
    <w:p w14:paraId="75EF547D" w14:textId="76D37C50" w:rsidR="00D469A5" w:rsidRPr="00620FA3" w:rsidRDefault="001F7D8C" w:rsidP="004C16A8">
      <w:pPr>
        <w:pStyle w:val="Heading2"/>
      </w:pPr>
      <w:bookmarkStart w:id="22" w:name="_Toc300761892"/>
      <w:bookmarkStart w:id="23" w:name="_Toc300933421"/>
      <w:bookmarkStart w:id="24" w:name="_Toc451340584"/>
      <w:r w:rsidRPr="00620FA3">
        <w:lastRenderedPageBreak/>
        <w:t>1</w:t>
      </w:r>
      <w:r w:rsidR="00AE611C" w:rsidRPr="00620FA3">
        <w:t>.2</w:t>
      </w:r>
      <w:r w:rsidR="00A56E34" w:rsidRPr="00620FA3">
        <w:tab/>
        <w:t xml:space="preserve">The </w:t>
      </w:r>
      <w:r w:rsidR="00A7799B" w:rsidRPr="00620FA3">
        <w:t>c</w:t>
      </w:r>
      <w:r w:rsidR="00397C9A" w:rsidRPr="00620FA3">
        <w:t xml:space="preserve">urrent </w:t>
      </w:r>
      <w:r w:rsidR="00A7799B" w:rsidRPr="00620FA3">
        <w:t>s</w:t>
      </w:r>
      <w:r w:rsidR="0053464E" w:rsidRPr="00620FA3">
        <w:t>tandard</w:t>
      </w:r>
      <w:bookmarkEnd w:id="22"/>
      <w:bookmarkEnd w:id="23"/>
      <w:r w:rsidR="00ED6D72">
        <w:t>s</w:t>
      </w:r>
      <w:bookmarkEnd w:id="24"/>
    </w:p>
    <w:p w14:paraId="1C2B565B" w14:textId="2DBD5364" w:rsidR="00ED6D72" w:rsidRPr="00ED6D72" w:rsidRDefault="00ED6D72" w:rsidP="00A7799B">
      <w:pPr>
        <w:rPr>
          <w:rFonts w:cs="Arial"/>
        </w:rPr>
      </w:pPr>
      <w:r w:rsidRPr="00CE0265">
        <w:rPr>
          <w:rFonts w:cs="Arial"/>
        </w:rPr>
        <w:t>Standard</w:t>
      </w:r>
      <w:r>
        <w:rPr>
          <w:rFonts w:cs="Arial"/>
        </w:rPr>
        <w:t>s 1.1.1 and</w:t>
      </w:r>
      <w:r w:rsidRPr="00CE0265">
        <w:rPr>
          <w:rFonts w:cs="Arial"/>
        </w:rPr>
        <w:t xml:space="preserve"> 1.3.1 and Schedule 15 </w:t>
      </w:r>
      <w:r>
        <w:rPr>
          <w:rFonts w:cs="Arial"/>
        </w:rPr>
        <w:t>together provide</w:t>
      </w:r>
      <w:r w:rsidRPr="00CE0265">
        <w:rPr>
          <w:rFonts w:cs="Arial"/>
        </w:rPr>
        <w:t xml:space="preserve"> the current permissions for </w:t>
      </w:r>
      <w:r>
        <w:rPr>
          <w:rFonts w:cs="Arial"/>
        </w:rPr>
        <w:t xml:space="preserve">the use of </w:t>
      </w:r>
      <w:r w:rsidRPr="00ED6D72">
        <w:rPr>
          <w:rFonts w:cs="Arial"/>
        </w:rPr>
        <w:t>benzoates and sulphites</w:t>
      </w:r>
      <w:r w:rsidRPr="00CE0265">
        <w:rPr>
          <w:rFonts w:cs="Arial"/>
        </w:rPr>
        <w:t xml:space="preserve"> as food additives</w:t>
      </w:r>
      <w:r w:rsidR="00E26104">
        <w:rPr>
          <w:rFonts w:cs="Arial"/>
        </w:rPr>
        <w:t>.</w:t>
      </w:r>
      <w:r w:rsidRPr="00ED6D72">
        <w:rPr>
          <w:rFonts w:cs="Arial"/>
        </w:rPr>
        <w:t xml:space="preserve"> </w:t>
      </w:r>
    </w:p>
    <w:p w14:paraId="25D25CB9" w14:textId="77777777" w:rsidR="00ED6D72" w:rsidRPr="00ED6D72" w:rsidRDefault="00ED6D72" w:rsidP="00A7799B">
      <w:pPr>
        <w:rPr>
          <w:rFonts w:cs="Arial"/>
        </w:rPr>
      </w:pPr>
    </w:p>
    <w:p w14:paraId="71EA4276" w14:textId="01A54BAF" w:rsidR="00ED6D72" w:rsidRDefault="0062139C" w:rsidP="00A7799B">
      <w:pPr>
        <w:rPr>
          <w:lang w:bidi="ar-SA"/>
        </w:rPr>
      </w:pPr>
      <w:r w:rsidRPr="00ED6D72">
        <w:rPr>
          <w:rFonts w:cs="Arial"/>
          <w:lang w:bidi="ar-SA"/>
        </w:rPr>
        <w:t xml:space="preserve">In </w:t>
      </w:r>
      <w:r w:rsidR="00F05B1E" w:rsidRPr="00ED6D72">
        <w:rPr>
          <w:rFonts w:cs="Arial"/>
          <w:lang w:val="en-AU" w:bidi="ar-SA"/>
        </w:rPr>
        <w:t>Schedule 15</w:t>
      </w:r>
      <w:r w:rsidR="00A75952" w:rsidRPr="00ED6D72">
        <w:rPr>
          <w:rFonts w:cs="Arial"/>
          <w:lang w:val="en-AU" w:bidi="ar-SA"/>
        </w:rPr>
        <w:t>,</w:t>
      </w:r>
      <w:r w:rsidR="008B3388" w:rsidRPr="00ED6D72">
        <w:rPr>
          <w:rFonts w:cs="Arial"/>
          <w:lang w:val="en-AU" w:bidi="ar-SA"/>
        </w:rPr>
        <w:t xml:space="preserve"> under </w:t>
      </w:r>
      <w:r w:rsidR="001A20A5" w:rsidRPr="00ED6D72">
        <w:rPr>
          <w:rFonts w:cs="Arial"/>
          <w:lang w:val="en-AU" w:bidi="ar-SA"/>
        </w:rPr>
        <w:t xml:space="preserve">the </w:t>
      </w:r>
      <w:r w:rsidR="008B3388" w:rsidRPr="00ED6D72">
        <w:rPr>
          <w:rFonts w:cs="Arial"/>
          <w:lang w:val="en-AU" w:bidi="ar-SA"/>
        </w:rPr>
        <w:t>table to</w:t>
      </w:r>
      <w:r w:rsidR="00A75952" w:rsidRPr="00ED6D72">
        <w:rPr>
          <w:rFonts w:cs="Arial"/>
          <w:lang w:val="en-AU" w:bidi="ar-SA"/>
        </w:rPr>
        <w:t xml:space="preserve"> section</w:t>
      </w:r>
      <w:r w:rsidR="00A7799B" w:rsidRPr="00ED6D72">
        <w:rPr>
          <w:rFonts w:cs="Arial"/>
          <w:lang w:val="en-AU" w:bidi="ar-SA"/>
        </w:rPr>
        <w:t xml:space="preserve"> </w:t>
      </w:r>
      <w:r w:rsidR="00F05B1E" w:rsidRPr="00ED6D72">
        <w:rPr>
          <w:rFonts w:cs="Arial"/>
          <w:lang w:val="en-AU" w:bidi="ar-SA"/>
        </w:rPr>
        <w:t>S15—5</w:t>
      </w:r>
      <w:r w:rsidR="008B3388" w:rsidRPr="00ED6D72">
        <w:rPr>
          <w:rFonts w:cs="Arial"/>
          <w:lang w:val="en-AU" w:bidi="ar-SA"/>
        </w:rPr>
        <w:t xml:space="preserve">, </w:t>
      </w:r>
      <w:r w:rsidR="008B3388" w:rsidRPr="00ED6D72">
        <w:rPr>
          <w:rFonts w:cs="Arial"/>
          <w:lang w:bidi="ar-SA"/>
        </w:rPr>
        <w:t>b</w:t>
      </w:r>
      <w:r w:rsidRPr="00ED6D72">
        <w:rPr>
          <w:rFonts w:cs="Arial"/>
          <w:lang w:bidi="ar-SA"/>
        </w:rPr>
        <w:t>enzoates and sulphites are permitted in</w:t>
      </w:r>
      <w:r w:rsidRPr="00DE6C26">
        <w:rPr>
          <w:lang w:bidi="ar-SA"/>
        </w:rPr>
        <w:t xml:space="preserve"> a wide range of foods at differing concentration levels based on the food</w:t>
      </w:r>
      <w:r w:rsidR="007018CA">
        <w:rPr>
          <w:lang w:bidi="ar-SA"/>
        </w:rPr>
        <w:t xml:space="preserve"> matrix</w:t>
      </w:r>
      <w:r w:rsidRPr="00DE6C26">
        <w:rPr>
          <w:lang w:bidi="ar-SA"/>
        </w:rPr>
        <w:t>, packaging</w:t>
      </w:r>
      <w:r w:rsidR="007018CA">
        <w:rPr>
          <w:lang w:bidi="ar-SA"/>
        </w:rPr>
        <w:t xml:space="preserve"> type, </w:t>
      </w:r>
      <w:r w:rsidR="0080060E">
        <w:rPr>
          <w:lang w:bidi="ar-SA"/>
        </w:rPr>
        <w:t>distribution</w:t>
      </w:r>
      <w:r w:rsidR="007018CA">
        <w:rPr>
          <w:lang w:bidi="ar-SA"/>
        </w:rPr>
        <w:t xml:space="preserve"> and storage conditions</w:t>
      </w:r>
      <w:r w:rsidRPr="00DE6C26">
        <w:rPr>
          <w:lang w:bidi="ar-SA"/>
        </w:rPr>
        <w:t xml:space="preserve"> and required shelf-life pre</w:t>
      </w:r>
      <w:r w:rsidR="00E26104">
        <w:rPr>
          <w:lang w:bidi="ar-SA"/>
        </w:rPr>
        <w:t>-</w:t>
      </w:r>
      <w:r w:rsidR="007E755C">
        <w:rPr>
          <w:lang w:bidi="ar-SA"/>
        </w:rPr>
        <w:t xml:space="preserve"> </w:t>
      </w:r>
      <w:r w:rsidRPr="00DE6C26">
        <w:rPr>
          <w:lang w:bidi="ar-SA"/>
        </w:rPr>
        <w:t>and</w:t>
      </w:r>
      <w:r w:rsidR="007E755C">
        <w:rPr>
          <w:lang w:bidi="ar-SA"/>
        </w:rPr>
        <w:t xml:space="preserve"> </w:t>
      </w:r>
      <w:r w:rsidRPr="00DE6C26">
        <w:rPr>
          <w:lang w:bidi="ar-SA"/>
        </w:rPr>
        <w:t>post-purchase</w:t>
      </w:r>
      <w:r w:rsidR="00074D55">
        <w:rPr>
          <w:lang w:bidi="ar-SA"/>
        </w:rPr>
        <w:t xml:space="preserve">. </w:t>
      </w:r>
      <w:r w:rsidRPr="00DE6C26">
        <w:rPr>
          <w:lang w:bidi="ar-SA"/>
        </w:rPr>
        <w:t>These permission</w:t>
      </w:r>
      <w:r w:rsidR="000C5C7C" w:rsidRPr="00DE6C26">
        <w:rPr>
          <w:lang w:bidi="ar-SA"/>
        </w:rPr>
        <w:t xml:space="preserve">s </w:t>
      </w:r>
      <w:r w:rsidRPr="00DE6C26">
        <w:rPr>
          <w:lang w:bidi="ar-SA"/>
        </w:rPr>
        <w:t>are listed in Appendix 1</w:t>
      </w:r>
      <w:r w:rsidR="002A47E1" w:rsidRPr="00784BCE">
        <w:rPr>
          <w:lang w:bidi="ar-SA"/>
        </w:rPr>
        <w:t xml:space="preserve"> </w:t>
      </w:r>
      <w:r w:rsidRPr="00DE6C26">
        <w:rPr>
          <w:lang w:bidi="ar-SA"/>
        </w:rPr>
        <w:t>of the Risk and Technical Assessment Report (SD1).</w:t>
      </w:r>
      <w:r w:rsidR="00A7799B">
        <w:rPr>
          <w:lang w:bidi="ar-SA"/>
        </w:rPr>
        <w:t xml:space="preserve"> </w:t>
      </w:r>
    </w:p>
    <w:p w14:paraId="0B7DDEA8" w14:textId="77777777" w:rsidR="00ED6D72" w:rsidRDefault="00ED6D72" w:rsidP="00A7799B">
      <w:pPr>
        <w:rPr>
          <w:lang w:bidi="ar-SA"/>
        </w:rPr>
      </w:pPr>
    </w:p>
    <w:p w14:paraId="5D37AC91" w14:textId="43049AD5" w:rsidR="00A7799B" w:rsidRPr="00A7799B" w:rsidRDefault="00A7799B" w:rsidP="00A7799B">
      <w:pPr>
        <w:rPr>
          <w:lang w:bidi="ar-SA"/>
        </w:rPr>
      </w:pPr>
      <w:r w:rsidRPr="00A7799B">
        <w:rPr>
          <w:lang w:bidi="ar-SA"/>
        </w:rPr>
        <w:t xml:space="preserve">Overall, permissions in the Code are generally consistent with those published in the Codex GSFA and are based on the </w:t>
      </w:r>
      <w:r w:rsidR="00984F88">
        <w:rPr>
          <w:lang w:bidi="ar-SA"/>
        </w:rPr>
        <w:t>maximum permitted level</w:t>
      </w:r>
      <w:r w:rsidR="007E755C">
        <w:rPr>
          <w:lang w:bidi="ar-SA"/>
        </w:rPr>
        <w:t xml:space="preserve"> (MPL)</w:t>
      </w:r>
      <w:r w:rsidRPr="00A7799B">
        <w:rPr>
          <w:lang w:bidi="ar-SA"/>
        </w:rPr>
        <w:t xml:space="preserve"> needed at the time of manufacture to achieve the technological purpose.</w:t>
      </w:r>
    </w:p>
    <w:p w14:paraId="20BC22D2" w14:textId="38B952E6" w:rsidR="00FA3DD5" w:rsidRPr="00DE6C26" w:rsidRDefault="001F7D8C" w:rsidP="00CA529A">
      <w:pPr>
        <w:pStyle w:val="Heading2"/>
      </w:pPr>
      <w:bookmarkStart w:id="25" w:name="_Toc451340585"/>
      <w:r w:rsidRPr="00DE6C26">
        <w:t>1</w:t>
      </w:r>
      <w:r w:rsidR="00550088" w:rsidRPr="00DE6C26">
        <w:t>.</w:t>
      </w:r>
      <w:r w:rsidR="00A7799B">
        <w:t>3</w:t>
      </w:r>
      <w:r w:rsidR="00FA3DD5" w:rsidRPr="00DE6C26">
        <w:tab/>
      </w:r>
      <w:r w:rsidR="0062139C" w:rsidRPr="00DE6C26">
        <w:t>International permissions for sulphites in food</w:t>
      </w:r>
      <w:bookmarkEnd w:id="25"/>
    </w:p>
    <w:p w14:paraId="2FD8BC44" w14:textId="77777777" w:rsidR="00D228A8" w:rsidRDefault="00D228A8" w:rsidP="004932A8">
      <w:bookmarkStart w:id="26" w:name="_Toc286391007"/>
      <w:bookmarkStart w:id="27" w:name="_Toc300933423"/>
      <w:bookmarkStart w:id="28" w:name="_Toc175381432"/>
      <w:r w:rsidRPr="00526716">
        <w:t xml:space="preserve">The Codex GSFA permissions for the addition </w:t>
      </w:r>
      <w:r>
        <w:t xml:space="preserve">of benzoates </w:t>
      </w:r>
      <w:r w:rsidRPr="00F116C0">
        <w:t xml:space="preserve">(1000 mg/kg </w:t>
      </w:r>
      <w:r>
        <w:t xml:space="preserve">for </w:t>
      </w:r>
      <w:r w:rsidRPr="00526716">
        <w:t>fruit juices, concentrates and nectars) are higher than the current permissions in the Code (400 mg/kg for fruit juices and fruit juice products</w:t>
      </w:r>
      <w:r>
        <w:t>)</w:t>
      </w:r>
      <w:r w:rsidRPr="00526716">
        <w:t xml:space="preserve">, while all other benzoate permissions </w:t>
      </w:r>
      <w:r>
        <w:t>are similar.</w:t>
      </w:r>
    </w:p>
    <w:p w14:paraId="32760364" w14:textId="77777777" w:rsidR="00D228A8" w:rsidRDefault="00D228A8" w:rsidP="004932A8"/>
    <w:p w14:paraId="27637A01" w14:textId="51724681" w:rsidR="00CA529A" w:rsidRPr="00CA529A" w:rsidRDefault="000C5C7C" w:rsidP="004932A8">
      <w:pPr>
        <w:rPr>
          <w:bCs/>
          <w:lang w:val="en-NZ" w:bidi="ar-SA"/>
        </w:rPr>
      </w:pPr>
      <w:r w:rsidRPr="00DE6C26">
        <w:rPr>
          <w:lang w:bidi="ar-SA"/>
        </w:rPr>
        <w:t xml:space="preserve">In Canada and </w:t>
      </w:r>
      <w:r w:rsidR="00E3347E">
        <w:rPr>
          <w:lang w:bidi="ar-SA"/>
        </w:rPr>
        <w:t xml:space="preserve">the </w:t>
      </w:r>
      <w:r w:rsidRPr="00DE6C26">
        <w:rPr>
          <w:lang w:bidi="ar-SA"/>
        </w:rPr>
        <w:t>Europe</w:t>
      </w:r>
      <w:r w:rsidR="00E3347E">
        <w:rPr>
          <w:lang w:bidi="ar-SA"/>
        </w:rPr>
        <w:t>an Union</w:t>
      </w:r>
      <w:r w:rsidRPr="00DE6C26">
        <w:rPr>
          <w:lang w:bidi="ar-SA"/>
        </w:rPr>
        <w:t>, sulphite</w:t>
      </w:r>
      <w:r w:rsidR="00D83879">
        <w:rPr>
          <w:lang w:bidi="ar-SA"/>
        </w:rPr>
        <w:t>s are</w:t>
      </w:r>
      <w:r w:rsidRPr="00DE6C26">
        <w:rPr>
          <w:lang w:bidi="ar-SA"/>
        </w:rPr>
        <w:t xml:space="preserve"> permitted in sausages at a level similar to </w:t>
      </w:r>
      <w:r w:rsidR="00437B97" w:rsidRPr="00DE6C26">
        <w:rPr>
          <w:lang w:bidi="ar-SA"/>
        </w:rPr>
        <w:t>the MPL</w:t>
      </w:r>
      <w:r w:rsidRPr="00DE6C26">
        <w:rPr>
          <w:lang w:bidi="ar-SA"/>
        </w:rPr>
        <w:t xml:space="preserve"> in the Code (500 mg/kg)</w:t>
      </w:r>
      <w:r w:rsidR="00074D55">
        <w:rPr>
          <w:lang w:bidi="ar-SA"/>
        </w:rPr>
        <w:t xml:space="preserve">. </w:t>
      </w:r>
      <w:r w:rsidRPr="00DE6C26">
        <w:rPr>
          <w:lang w:bidi="ar-SA"/>
        </w:rPr>
        <w:t>In a number of countries, including the UK and Ireland, the product</w:t>
      </w:r>
      <w:r w:rsidR="00E3347E">
        <w:rPr>
          <w:lang w:bidi="ar-SA"/>
        </w:rPr>
        <w:t>ion</w:t>
      </w:r>
      <w:r w:rsidRPr="00DE6C26">
        <w:rPr>
          <w:lang w:bidi="ar-SA"/>
        </w:rPr>
        <w:t>, manufacturing and distribution systems for sausages are similar to that in Australia and New Zealand</w:t>
      </w:r>
      <w:r w:rsidR="00074D55">
        <w:rPr>
          <w:lang w:bidi="ar-SA"/>
        </w:rPr>
        <w:t xml:space="preserve">. </w:t>
      </w:r>
      <w:r w:rsidRPr="00DE6C26">
        <w:rPr>
          <w:lang w:bidi="ar-SA"/>
        </w:rPr>
        <w:t>Their use of sulphite</w:t>
      </w:r>
      <w:r w:rsidR="00D83879">
        <w:rPr>
          <w:lang w:bidi="ar-SA"/>
        </w:rPr>
        <w:t>s</w:t>
      </w:r>
      <w:r w:rsidRPr="00DE6C26">
        <w:rPr>
          <w:lang w:bidi="ar-SA"/>
        </w:rPr>
        <w:t xml:space="preserve"> is at a similar level and for the same purpose as in Australia and New Zealand</w:t>
      </w:r>
      <w:r w:rsidR="00D973FB">
        <w:rPr>
          <w:lang w:bidi="ar-SA"/>
        </w:rPr>
        <w:t>.</w:t>
      </w:r>
      <w:r w:rsidR="00074D55">
        <w:rPr>
          <w:lang w:bidi="ar-SA"/>
        </w:rPr>
        <w:t xml:space="preserve"> </w:t>
      </w:r>
      <w:r w:rsidR="00511CD0">
        <w:rPr>
          <w:lang w:bidi="ar-SA"/>
        </w:rPr>
        <w:t xml:space="preserve">JECFA has found that the ADI of 0.7mg/kg </w:t>
      </w:r>
      <w:proofErr w:type="spellStart"/>
      <w:proofErr w:type="gramStart"/>
      <w:r w:rsidR="00511CD0">
        <w:rPr>
          <w:lang w:bidi="ar-SA"/>
        </w:rPr>
        <w:t>bw</w:t>
      </w:r>
      <w:proofErr w:type="spellEnd"/>
      <w:proofErr w:type="gramEnd"/>
      <w:r w:rsidR="00511CD0">
        <w:rPr>
          <w:lang w:bidi="ar-SA"/>
        </w:rPr>
        <w:t xml:space="preserve"> is exceeded for mean intake in the three Member States that submitted data</w:t>
      </w:r>
      <w:r w:rsidR="00074D55">
        <w:rPr>
          <w:lang w:bidi="ar-SA"/>
        </w:rPr>
        <w:t>.</w:t>
      </w:r>
    </w:p>
    <w:p w14:paraId="761E5CD5" w14:textId="5D2AC554" w:rsidR="00CA529A" w:rsidRPr="00DE6C26" w:rsidRDefault="00CA529A" w:rsidP="00B50468">
      <w:pPr>
        <w:rPr>
          <w:lang w:bidi="ar-SA"/>
        </w:rPr>
      </w:pPr>
    </w:p>
    <w:p w14:paraId="4BA65D73" w14:textId="55D71097" w:rsidR="000C5C7C" w:rsidRPr="00DE6C26" w:rsidRDefault="000C5C7C" w:rsidP="000C5C7C">
      <w:pPr>
        <w:rPr>
          <w:lang w:bidi="ar-SA"/>
        </w:rPr>
      </w:pPr>
      <w:r w:rsidRPr="00DE6C26">
        <w:rPr>
          <w:lang w:bidi="ar-SA"/>
        </w:rPr>
        <w:t>In the USA, sulphites are not permitted in raw meat sausages</w:t>
      </w:r>
      <w:r w:rsidR="00074D55">
        <w:rPr>
          <w:lang w:bidi="ar-SA"/>
        </w:rPr>
        <w:t xml:space="preserve">. </w:t>
      </w:r>
      <w:r w:rsidRPr="00DE6C26">
        <w:rPr>
          <w:lang w:bidi="ar-SA"/>
        </w:rPr>
        <w:t>The US</w:t>
      </w:r>
      <w:r w:rsidR="00F05B1E">
        <w:rPr>
          <w:lang w:bidi="ar-SA"/>
        </w:rPr>
        <w:t>A</w:t>
      </w:r>
      <w:r w:rsidRPr="00DE6C26">
        <w:rPr>
          <w:lang w:bidi="ar-SA"/>
        </w:rPr>
        <w:t xml:space="preserve"> industry comprises predominantly high-volume manufacturers with small butcher shops being less prominent</w:t>
      </w:r>
      <w:r w:rsidR="00074D55">
        <w:rPr>
          <w:lang w:bidi="ar-SA"/>
        </w:rPr>
        <w:t xml:space="preserve">. </w:t>
      </w:r>
      <w:r w:rsidRPr="00DE6C26">
        <w:rPr>
          <w:lang w:bidi="ar-SA"/>
        </w:rPr>
        <w:t xml:space="preserve">The product shelf life is typically 12 days achieved primarily by the use of modified atmosphere packaging (MAP), with colour being maintained through the use of other ingredients or additives such as butylated </w:t>
      </w:r>
      <w:proofErr w:type="spellStart"/>
      <w:r w:rsidRPr="00DE6C26">
        <w:rPr>
          <w:lang w:bidi="ar-SA"/>
        </w:rPr>
        <w:t>hydroxyanisole</w:t>
      </w:r>
      <w:proofErr w:type="spellEnd"/>
      <w:r w:rsidRPr="00DE6C26">
        <w:rPr>
          <w:lang w:bidi="ar-SA"/>
        </w:rPr>
        <w:t xml:space="preserve"> (BHA) and butylated </w:t>
      </w:r>
      <w:proofErr w:type="spellStart"/>
      <w:r w:rsidRPr="00DE6C26">
        <w:rPr>
          <w:lang w:bidi="ar-SA"/>
        </w:rPr>
        <w:t>hydroxytoluene</w:t>
      </w:r>
      <w:proofErr w:type="spellEnd"/>
      <w:r w:rsidRPr="00DE6C26">
        <w:rPr>
          <w:lang w:bidi="ar-SA"/>
        </w:rPr>
        <w:t xml:space="preserve"> (BHT)</w:t>
      </w:r>
      <w:r w:rsidR="00074D55">
        <w:rPr>
          <w:lang w:bidi="ar-SA"/>
        </w:rPr>
        <w:t xml:space="preserve">. </w:t>
      </w:r>
      <w:r w:rsidRPr="00DE6C26">
        <w:rPr>
          <w:lang w:bidi="ar-SA"/>
        </w:rPr>
        <w:t>In some cases, frozen distribution is used.</w:t>
      </w:r>
    </w:p>
    <w:p w14:paraId="485BF46C" w14:textId="77777777" w:rsidR="000C5C7C" w:rsidRDefault="000C5C7C" w:rsidP="000C5C7C">
      <w:pPr>
        <w:rPr>
          <w:lang w:bidi="ar-SA"/>
        </w:rPr>
      </w:pPr>
    </w:p>
    <w:p w14:paraId="6FD7A1BD" w14:textId="43CB7584" w:rsidR="008A7A42" w:rsidRPr="00393CDA" w:rsidRDefault="000C5C7C" w:rsidP="000C5C7C">
      <w:r w:rsidRPr="00DE6C26">
        <w:rPr>
          <w:lang w:bidi="ar-SA"/>
        </w:rPr>
        <w:t>The Codex</w:t>
      </w:r>
      <w:r w:rsidR="00BB5C1E">
        <w:rPr>
          <w:lang w:bidi="ar-SA"/>
        </w:rPr>
        <w:t xml:space="preserve"> GSFA</w:t>
      </w:r>
      <w:r w:rsidRPr="00DE6C26">
        <w:rPr>
          <w:lang w:bidi="ar-SA"/>
        </w:rPr>
        <w:t xml:space="preserve"> limit for sulphites in dried apricots is 2000 mg/kg, while the Code </w:t>
      </w:r>
      <w:r w:rsidR="0035644F" w:rsidRPr="00DE6C26">
        <w:rPr>
          <w:lang w:bidi="ar-SA"/>
        </w:rPr>
        <w:t>MPL</w:t>
      </w:r>
      <w:r w:rsidRPr="00DE6C26">
        <w:rPr>
          <w:lang w:bidi="ar-SA"/>
        </w:rPr>
        <w:t xml:space="preserve"> is 3000 mg/kg</w:t>
      </w:r>
      <w:r w:rsidR="00074D55">
        <w:rPr>
          <w:lang w:bidi="ar-SA"/>
        </w:rPr>
        <w:t xml:space="preserve">. </w:t>
      </w:r>
      <w:r w:rsidR="00437B97" w:rsidRPr="0035644F">
        <w:rPr>
          <w:lang w:bidi="ar-SA"/>
        </w:rPr>
        <w:t xml:space="preserve">With respect to sulphites in other dried fruits, the Codex </w:t>
      </w:r>
      <w:r w:rsidR="00BB5C1E">
        <w:rPr>
          <w:lang w:bidi="ar-SA"/>
        </w:rPr>
        <w:t>GSFA</w:t>
      </w:r>
      <w:r w:rsidR="00BB5C1E" w:rsidRPr="00BB5C1E">
        <w:rPr>
          <w:lang w:bidi="ar-SA"/>
        </w:rPr>
        <w:t xml:space="preserve"> </w:t>
      </w:r>
      <w:r w:rsidR="00437B97" w:rsidRPr="0035644F">
        <w:rPr>
          <w:lang w:bidi="ar-SA"/>
        </w:rPr>
        <w:t>limit for bleached raisins is 1500</w:t>
      </w:r>
      <w:r w:rsidR="00F05B1E">
        <w:rPr>
          <w:lang w:bidi="ar-SA"/>
        </w:rPr>
        <w:t xml:space="preserve"> </w:t>
      </w:r>
      <w:r w:rsidR="00437B97" w:rsidRPr="0035644F">
        <w:rPr>
          <w:lang w:bidi="ar-SA"/>
        </w:rPr>
        <w:t xml:space="preserve">mg/kg and </w:t>
      </w:r>
      <w:r w:rsidR="0035644F" w:rsidRPr="0035644F">
        <w:rPr>
          <w:lang w:bidi="ar-SA"/>
        </w:rPr>
        <w:t>1000 mg/kg in</w:t>
      </w:r>
      <w:r w:rsidR="00437B97" w:rsidRPr="0035644F">
        <w:rPr>
          <w:lang w:bidi="ar-SA"/>
        </w:rPr>
        <w:t xml:space="preserve"> </w:t>
      </w:r>
      <w:r w:rsidR="0035644F" w:rsidRPr="0035644F">
        <w:rPr>
          <w:lang w:bidi="ar-SA"/>
        </w:rPr>
        <w:t>all other dried fruits</w:t>
      </w:r>
      <w:r w:rsidR="00437B97" w:rsidRPr="0035644F">
        <w:rPr>
          <w:lang w:bidi="ar-SA"/>
        </w:rPr>
        <w:t>, while in the Code</w:t>
      </w:r>
      <w:r w:rsidR="00430EC9">
        <w:rPr>
          <w:lang w:bidi="ar-SA"/>
        </w:rPr>
        <w:t>,</w:t>
      </w:r>
      <w:r w:rsidR="00437B97" w:rsidRPr="0035644F">
        <w:rPr>
          <w:lang w:bidi="ar-SA"/>
        </w:rPr>
        <w:t xml:space="preserve"> dried fruits</w:t>
      </w:r>
      <w:r w:rsidR="00B10158">
        <w:rPr>
          <w:lang w:bidi="ar-SA"/>
        </w:rPr>
        <w:t xml:space="preserve">, including </w:t>
      </w:r>
      <w:r w:rsidR="00D71DE6">
        <w:rPr>
          <w:lang w:bidi="ar-SA"/>
        </w:rPr>
        <w:t>raisins</w:t>
      </w:r>
      <w:r w:rsidR="00437B97" w:rsidRPr="0035644F">
        <w:rPr>
          <w:lang w:bidi="ar-SA"/>
        </w:rPr>
        <w:t xml:space="preserve"> have a </w:t>
      </w:r>
      <w:r w:rsidR="0035644F" w:rsidRPr="0035644F">
        <w:rPr>
          <w:lang w:bidi="ar-SA"/>
        </w:rPr>
        <w:t>MPL</w:t>
      </w:r>
      <w:r w:rsidR="00437B97" w:rsidRPr="0035644F">
        <w:rPr>
          <w:lang w:bidi="ar-SA"/>
        </w:rPr>
        <w:t xml:space="preserve"> of 3000 mg/kg. </w:t>
      </w:r>
      <w:r w:rsidR="00DF574E" w:rsidRPr="00393CDA">
        <w:t xml:space="preserve">For more information refer to section </w:t>
      </w:r>
      <w:r w:rsidR="00B3110C" w:rsidRPr="00393CDA">
        <w:t>2.2</w:t>
      </w:r>
      <w:r w:rsidR="00511CD0" w:rsidRPr="00393CDA">
        <w:t xml:space="preserve"> </w:t>
      </w:r>
      <w:r w:rsidR="00DF574E" w:rsidRPr="00393CDA">
        <w:t>of SD1.</w:t>
      </w:r>
    </w:p>
    <w:p w14:paraId="505401A4" w14:textId="31A248EB" w:rsidR="004E4089" w:rsidRPr="00D062E4" w:rsidRDefault="004E4089" w:rsidP="00180C41">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11"/>
      <w:bookmarkEnd w:id="12"/>
      <w:bookmarkEnd w:id="13"/>
      <w:bookmarkEnd w:id="14"/>
      <w:bookmarkEnd w:id="15"/>
      <w:bookmarkEnd w:id="26"/>
      <w:bookmarkEnd w:id="27"/>
      <w:bookmarkEnd w:id="28"/>
    </w:p>
    <w:p w14:paraId="59C6D8A1" w14:textId="72FB66C3" w:rsidR="00AF387F" w:rsidRPr="003969DE" w:rsidRDefault="002444ED" w:rsidP="00180C41">
      <w:pPr>
        <w:pStyle w:val="Heading1"/>
      </w:pPr>
      <w:bookmarkStart w:id="36" w:name="_Toc300933424"/>
      <w:bookmarkStart w:id="37" w:name="_Toc451340586"/>
      <w:r w:rsidRPr="003969DE">
        <w:t>2</w:t>
      </w:r>
      <w:r w:rsidR="001542D8" w:rsidRPr="003969DE">
        <w:tab/>
      </w:r>
      <w:r w:rsidR="00350DBD" w:rsidRPr="003969DE">
        <w:t>S</w:t>
      </w:r>
      <w:r w:rsidR="00FB1533" w:rsidRPr="003969DE">
        <w:t>ummary of the a</w:t>
      </w:r>
      <w:r w:rsidR="00FD2FBE" w:rsidRPr="003969DE">
        <w:t>ssessment</w:t>
      </w:r>
      <w:bookmarkEnd w:id="29"/>
      <w:bookmarkEnd w:id="36"/>
      <w:bookmarkEnd w:id="37"/>
    </w:p>
    <w:p w14:paraId="3C717E64" w14:textId="540C1735" w:rsidR="004F69F6" w:rsidRPr="003969DE" w:rsidRDefault="00346E2B" w:rsidP="00BB132D">
      <w:pPr>
        <w:pStyle w:val="Heading2"/>
      </w:pPr>
      <w:bookmarkStart w:id="38" w:name="_Toc370225386"/>
      <w:bookmarkStart w:id="39" w:name="_Toc413247501"/>
      <w:bookmarkStart w:id="40" w:name="_Toc286391009"/>
      <w:bookmarkStart w:id="41" w:name="_Toc300933425"/>
      <w:bookmarkStart w:id="42" w:name="_Toc451340587"/>
      <w:bookmarkStart w:id="43" w:name="_Toc120358583"/>
      <w:bookmarkStart w:id="44" w:name="_Toc175381440"/>
      <w:r w:rsidRPr="003969DE">
        <w:t>2.1</w:t>
      </w:r>
      <w:r w:rsidRPr="003969DE">
        <w:tab/>
      </w:r>
      <w:bookmarkEnd w:id="38"/>
      <w:bookmarkEnd w:id="39"/>
      <w:r w:rsidR="004F69F6" w:rsidRPr="003969DE">
        <w:t xml:space="preserve">Risk </w:t>
      </w:r>
      <w:r w:rsidR="00741EFE" w:rsidRPr="003969DE">
        <w:t>a</w:t>
      </w:r>
      <w:r w:rsidR="004F69F6" w:rsidRPr="003969DE">
        <w:t>ssessment</w:t>
      </w:r>
      <w:bookmarkEnd w:id="40"/>
      <w:bookmarkEnd w:id="41"/>
      <w:bookmarkEnd w:id="42"/>
      <w:r w:rsidR="004F69F6" w:rsidRPr="003969DE">
        <w:t xml:space="preserve"> </w:t>
      </w:r>
      <w:bookmarkEnd w:id="43"/>
      <w:bookmarkEnd w:id="44"/>
    </w:p>
    <w:p w14:paraId="0956A8B2" w14:textId="6EE32C16" w:rsidR="00365327" w:rsidRPr="00365327" w:rsidRDefault="00365327" w:rsidP="00E73212">
      <w:pPr>
        <w:pStyle w:val="Heading3"/>
      </w:pPr>
      <w:bookmarkStart w:id="45" w:name="_Toc451340588"/>
      <w:r>
        <w:t>2.</w:t>
      </w:r>
      <w:r w:rsidR="008B67A2">
        <w:t>1</w:t>
      </w:r>
      <w:r>
        <w:t>.1</w:t>
      </w:r>
      <w:r>
        <w:tab/>
        <w:t xml:space="preserve">Use of </w:t>
      </w:r>
      <w:r w:rsidR="0015472F">
        <w:t xml:space="preserve">benzoates and </w:t>
      </w:r>
      <w:r>
        <w:t>sulphites</w:t>
      </w:r>
      <w:bookmarkEnd w:id="45"/>
      <w:r>
        <w:t xml:space="preserve"> </w:t>
      </w:r>
    </w:p>
    <w:p w14:paraId="5C72276D" w14:textId="5CA394B6" w:rsidR="009F5728" w:rsidRDefault="006C42E3" w:rsidP="006C42E3">
      <w:r w:rsidRPr="006C42E3">
        <w:t xml:space="preserve">‘Sulphites’ and ‘benzoates’ refer to classes of food preservatives that have a long history of use in food in Australia and New Zealand. There are a range of specific permissions for their addition to certain foods, up to a MPL, contained in Schedule 15 in </w:t>
      </w:r>
      <w:r>
        <w:t xml:space="preserve">the </w:t>
      </w:r>
      <w:r w:rsidRPr="006C42E3">
        <w:t>Code.</w:t>
      </w:r>
    </w:p>
    <w:p w14:paraId="3F5C8984" w14:textId="77777777" w:rsidR="009F5728" w:rsidRDefault="009F5728" w:rsidP="006C42E3"/>
    <w:p w14:paraId="6AFE3AD6" w14:textId="3F2484C2" w:rsidR="00E3347E" w:rsidRDefault="00E3347E" w:rsidP="006C42E3"/>
    <w:p w14:paraId="18423629" w14:textId="77777777" w:rsidR="00E3347E" w:rsidRDefault="00E3347E" w:rsidP="006C42E3"/>
    <w:p w14:paraId="34BD91FA" w14:textId="77777777" w:rsidR="00E3347E" w:rsidRDefault="00E3347E" w:rsidP="006C42E3"/>
    <w:p w14:paraId="007474D3" w14:textId="0D7A845F" w:rsidR="006C42E3" w:rsidRPr="006C42E3" w:rsidRDefault="006C42E3" w:rsidP="006C42E3">
      <w:r w:rsidRPr="006C42E3">
        <w:lastRenderedPageBreak/>
        <w:t>In Australia and New Zealand, the typical levels of benzoates at manufacture were shown to be less than the MPL and were consistent with GMP i.e. they are added at a level necessary to accomplish the desired effect in the specific food</w:t>
      </w:r>
      <w:r>
        <w:t>.</w:t>
      </w:r>
      <w:r w:rsidRPr="006C42E3">
        <w:t xml:space="preserve"> Generally, the addition level of sulphites at the point of manufacture is at a lower level than the MPL in the Code and is consistent with good manufacturing practice (GMP). However, there may be occasions where industry considers that addition at the MPL is required</w:t>
      </w:r>
      <w:r w:rsidR="00BB4A77">
        <w:t xml:space="preserve">. </w:t>
      </w:r>
      <w:r w:rsidRPr="006C42E3">
        <w:t>In all cases</w:t>
      </w:r>
      <w:r w:rsidR="00E3347E">
        <w:t>,</w:t>
      </w:r>
      <w:r w:rsidRPr="006C42E3">
        <w:t xml:space="preserve"> the average level of sulphites and benzoates in the product as consumed is less than that added at the point of manufacture due to natural degradation during storage, after opening or during preparation and cooking</w:t>
      </w:r>
      <w:r>
        <w:t xml:space="preserve"> (</w:t>
      </w:r>
      <w:bookmarkStart w:id="46" w:name="_Ref438458824"/>
      <w:r w:rsidR="00B72A25" w:rsidRPr="00B72A25">
        <w:t>Table A3.</w:t>
      </w:r>
      <w:r w:rsidR="000D6CA0">
        <w:fldChar w:fldCharType="begin"/>
      </w:r>
      <w:r w:rsidR="000D6CA0">
        <w:instrText xml:space="preserve"> SEQ Table \* ARABIC \r 1 </w:instrText>
      </w:r>
      <w:r w:rsidR="000D6CA0">
        <w:fldChar w:fldCharType="separate"/>
      </w:r>
      <w:proofErr w:type="gramStart"/>
      <w:r w:rsidR="00F466B1">
        <w:rPr>
          <w:noProof/>
        </w:rPr>
        <w:t>1</w:t>
      </w:r>
      <w:r w:rsidR="000D6CA0">
        <w:rPr>
          <w:noProof/>
        </w:rPr>
        <w:fldChar w:fldCharType="end"/>
      </w:r>
      <w:bookmarkEnd w:id="46"/>
      <w:r w:rsidR="00B72A25">
        <w:t xml:space="preserve"> of SD1</w:t>
      </w:r>
      <w:r>
        <w:t>)</w:t>
      </w:r>
      <w:r w:rsidRPr="006C42E3">
        <w:t>.</w:t>
      </w:r>
      <w:proofErr w:type="gramEnd"/>
      <w:r w:rsidRPr="006C42E3">
        <w:t xml:space="preserve"> </w:t>
      </w:r>
    </w:p>
    <w:p w14:paraId="5D8DF6D9" w14:textId="3F127C0F" w:rsidR="00924A54" w:rsidRDefault="00924A54" w:rsidP="00BD2355"/>
    <w:p w14:paraId="27D462EF" w14:textId="79F02B49" w:rsidR="008A7A42" w:rsidRDefault="007E4E9E" w:rsidP="007E4E9E">
      <w:r w:rsidRPr="007E4E9E">
        <w:t xml:space="preserve">For raw meat sausages (and other sulphite-containing </w:t>
      </w:r>
      <w:proofErr w:type="spellStart"/>
      <w:r w:rsidRPr="007E4E9E">
        <w:t>smallgoods</w:t>
      </w:r>
      <w:proofErr w:type="spellEnd"/>
      <w:r w:rsidRPr="007E4E9E">
        <w:t>), the sulphite level is linked to the type of sausage, choice of raw materials, packaging system and finished product supply chains</w:t>
      </w:r>
      <w:r w:rsidR="00B15A49">
        <w:t xml:space="preserve"> (</w:t>
      </w:r>
      <w:r w:rsidR="00B15A49" w:rsidRPr="00B15A49">
        <w:t>A Review of Sulphites in Raw Meat Sausages, prepared by the South Australian Research and Development Institute</w:t>
      </w:r>
      <w:r w:rsidR="00B15A49">
        <w:t xml:space="preserve"> (SD2))</w:t>
      </w:r>
      <w:r w:rsidR="00074D55">
        <w:t xml:space="preserve">. </w:t>
      </w:r>
      <w:r w:rsidRPr="007E4E9E">
        <w:t>There are now limited ranges of preservative-free speciality sausages in Australia, with sulphite-free sausages being more common in New Zealand</w:t>
      </w:r>
      <w:r w:rsidR="00430EC9">
        <w:t>.</w:t>
      </w:r>
    </w:p>
    <w:p w14:paraId="2F4F5826" w14:textId="1C1F2E0C" w:rsidR="00365327" w:rsidRDefault="00365327" w:rsidP="000E1ED4">
      <w:pPr>
        <w:pStyle w:val="Heading3"/>
      </w:pPr>
      <w:bookmarkStart w:id="47" w:name="_Toc451340589"/>
      <w:r>
        <w:t>2.</w:t>
      </w:r>
      <w:r w:rsidR="008B67A2">
        <w:t>1</w:t>
      </w:r>
      <w:r>
        <w:t>.2</w:t>
      </w:r>
      <w:r>
        <w:tab/>
        <w:t>Health-based guidance values</w:t>
      </w:r>
      <w:bookmarkEnd w:id="47"/>
      <w:r>
        <w:t xml:space="preserve"> </w:t>
      </w:r>
    </w:p>
    <w:p w14:paraId="43907C62" w14:textId="1DAF63D8" w:rsidR="009940CC" w:rsidRPr="009940CC" w:rsidRDefault="009940CC" w:rsidP="009940CC">
      <w:r w:rsidRPr="009940CC">
        <w:t>The appropriate health based guidance value (HBGV)</w:t>
      </w:r>
      <w:r w:rsidRPr="009940CC">
        <w:rPr>
          <w:vertAlign w:val="superscript"/>
        </w:rPr>
        <w:footnoteReference w:id="4"/>
      </w:r>
      <w:r w:rsidRPr="009940CC">
        <w:t xml:space="preserve"> for sulphites and benzoates, is an acceptable daily intake (ADI)</w:t>
      </w:r>
      <w:r w:rsidRPr="009940CC">
        <w:rPr>
          <w:vertAlign w:val="superscript"/>
        </w:rPr>
        <w:footnoteReference w:id="5"/>
      </w:r>
      <w:r w:rsidRPr="009940CC">
        <w:t xml:space="preserve">. The ADI values used by FSANZ for benzoates (0-5 mg/kg </w:t>
      </w:r>
      <w:proofErr w:type="spellStart"/>
      <w:r w:rsidRPr="009940CC">
        <w:t>bw</w:t>
      </w:r>
      <w:proofErr w:type="spellEnd"/>
      <w:r w:rsidRPr="009940CC">
        <w:t xml:space="preserve">/day) and </w:t>
      </w:r>
      <w:r w:rsidR="00E26104">
        <w:t xml:space="preserve">initially for </w:t>
      </w:r>
      <w:r w:rsidRPr="009940CC">
        <w:t xml:space="preserve">sulphites (0-0.7 mg/kg </w:t>
      </w:r>
      <w:proofErr w:type="spellStart"/>
      <w:r w:rsidRPr="009940CC">
        <w:t>bw</w:t>
      </w:r>
      <w:proofErr w:type="spellEnd"/>
      <w:r w:rsidRPr="009940CC">
        <w:t xml:space="preserve">/day) for dietary risk assessment purposes </w:t>
      </w:r>
      <w:r>
        <w:t xml:space="preserve">were </w:t>
      </w:r>
      <w:r w:rsidRPr="009940CC">
        <w:t xml:space="preserve">those established by the Joint FAO/WHO Expert Committee on Food Additives (JECFA). </w:t>
      </w:r>
    </w:p>
    <w:p w14:paraId="3C7E1BFF" w14:textId="733644F8" w:rsidR="006D15E3" w:rsidRDefault="006D15E3" w:rsidP="000E1ED4">
      <w:pPr>
        <w:pStyle w:val="Heading3"/>
      </w:pPr>
      <w:bookmarkStart w:id="48" w:name="_Toc451340590"/>
      <w:r>
        <w:t>2.</w:t>
      </w:r>
      <w:r w:rsidR="008B67A2">
        <w:t>1</w:t>
      </w:r>
      <w:r>
        <w:t>.3</w:t>
      </w:r>
      <w:r>
        <w:tab/>
        <w:t>Dietary exposure estimates</w:t>
      </w:r>
      <w:bookmarkEnd w:id="48"/>
    </w:p>
    <w:p w14:paraId="429D11A3" w14:textId="1DF129E8" w:rsidR="000E1ED4" w:rsidRPr="000E1ED4" w:rsidRDefault="000E1ED4" w:rsidP="000E1ED4">
      <w:pPr>
        <w:widowControl/>
        <w:rPr>
          <w:lang w:bidi="ar-SA"/>
        </w:rPr>
      </w:pPr>
      <w:r w:rsidRPr="000E1ED4">
        <w:rPr>
          <w:lang w:bidi="ar-SA"/>
        </w:rPr>
        <w:t>In 2005</w:t>
      </w:r>
      <w:r w:rsidR="00E73212">
        <w:rPr>
          <w:lang w:bidi="ar-SA"/>
        </w:rPr>
        <w:t>,</w:t>
      </w:r>
      <w:r w:rsidRPr="000E1ED4">
        <w:rPr>
          <w:lang w:bidi="ar-SA"/>
        </w:rPr>
        <w:t xml:space="preserve"> a potential public health and safety concern was identified in the 21</w:t>
      </w:r>
      <w:r w:rsidRPr="000E1ED4">
        <w:rPr>
          <w:vertAlign w:val="superscript"/>
          <w:lang w:bidi="ar-SA"/>
        </w:rPr>
        <w:t>st</w:t>
      </w:r>
      <w:r w:rsidRPr="000E1ED4">
        <w:rPr>
          <w:lang w:bidi="ar-SA"/>
        </w:rPr>
        <w:t xml:space="preserve"> Australian Total Diet Study (ATDS) due to estimated dietary exposures to </w:t>
      </w:r>
      <w:r w:rsidR="000D5843" w:rsidRPr="000E1ED4">
        <w:rPr>
          <w:lang w:bidi="ar-SA"/>
        </w:rPr>
        <w:t xml:space="preserve">benzoates and </w:t>
      </w:r>
      <w:r w:rsidRPr="000E1ED4">
        <w:rPr>
          <w:lang w:bidi="ar-SA"/>
        </w:rPr>
        <w:t>sulphites for some groups in the Australian population potentially exceeding the relevant health</w:t>
      </w:r>
      <w:r w:rsidR="00E3347E">
        <w:rPr>
          <w:lang w:bidi="ar-SA"/>
        </w:rPr>
        <w:t>-</w:t>
      </w:r>
      <w:r w:rsidRPr="000E1ED4">
        <w:rPr>
          <w:lang w:bidi="ar-SA"/>
        </w:rPr>
        <w:t>based guidance values. Updated dietary exposure assessments (DEAs)</w:t>
      </w:r>
      <w:r w:rsidRPr="000E1ED4">
        <w:rPr>
          <w:vertAlign w:val="superscript"/>
          <w:lang w:bidi="ar-SA"/>
        </w:rPr>
        <w:footnoteReference w:id="6"/>
      </w:r>
      <w:r w:rsidRPr="000E1ED4">
        <w:rPr>
          <w:lang w:bidi="ar-SA"/>
        </w:rPr>
        <w:t xml:space="preserve"> were conducted for Australia and New Zealand</w:t>
      </w:r>
      <w:r w:rsidRPr="000E1ED4">
        <w:rPr>
          <w:vertAlign w:val="superscript"/>
          <w:lang w:bidi="ar-SA"/>
        </w:rPr>
        <w:footnoteReference w:id="7"/>
      </w:r>
      <w:r w:rsidRPr="000E1ED4">
        <w:rPr>
          <w:lang w:bidi="ar-SA"/>
        </w:rPr>
        <w:t xml:space="preserve"> using the most recent food consumption data and updated sulphites analytical concentration data for those foods previously identified as being important contributors to total estimated dietary exposure.</w:t>
      </w:r>
    </w:p>
    <w:p w14:paraId="1EBA6406" w14:textId="77777777" w:rsidR="000E1ED4" w:rsidRPr="000E1ED4" w:rsidRDefault="000E1ED4" w:rsidP="000E1ED4">
      <w:pPr>
        <w:widowControl/>
        <w:rPr>
          <w:lang w:bidi="ar-SA"/>
        </w:rPr>
      </w:pPr>
    </w:p>
    <w:p w14:paraId="6F9BEA6E" w14:textId="6A20990F" w:rsidR="000E1ED4" w:rsidRPr="000E1ED4" w:rsidRDefault="000E1ED4" w:rsidP="000E1ED4">
      <w:pPr>
        <w:widowControl/>
        <w:rPr>
          <w:lang w:bidi="ar-SA"/>
        </w:rPr>
      </w:pPr>
      <w:r w:rsidRPr="000E1ED4">
        <w:rPr>
          <w:lang w:bidi="ar-SA"/>
        </w:rPr>
        <w:t>The updated DEAs indicated that estimated dietary exposure to benzoates for Australian and New Zealand consumers of foods containing this additive were below the ADI for all populations assessed at both the mean and 90</w:t>
      </w:r>
      <w:r w:rsidRPr="000E1ED4">
        <w:rPr>
          <w:vertAlign w:val="superscript"/>
          <w:lang w:bidi="ar-SA"/>
        </w:rPr>
        <w:t>th</w:t>
      </w:r>
      <w:r w:rsidRPr="000E1ED4">
        <w:rPr>
          <w:lang w:bidi="ar-SA"/>
        </w:rPr>
        <w:t xml:space="preserve"> percentile of benzoate exposures</w:t>
      </w:r>
      <w:r w:rsidR="00E3347E">
        <w:rPr>
          <w:lang w:bidi="ar-SA"/>
        </w:rPr>
        <w:t>.</w:t>
      </w:r>
      <w:r w:rsidRPr="000E1ED4">
        <w:rPr>
          <w:lang w:bidi="ar-SA"/>
        </w:rPr>
        <w:t xml:space="preserve"> The conclusion of the risk and technical assessment for benzoates (SD1) is that there is no public health and safety concern for the Australian and New Zealand populations arising from the consumption of foods containing benzoates.</w:t>
      </w:r>
    </w:p>
    <w:p w14:paraId="4B7D7D44" w14:textId="77777777" w:rsidR="000E1ED4" w:rsidRDefault="000E1ED4" w:rsidP="000E1ED4">
      <w:pPr>
        <w:widowControl/>
        <w:rPr>
          <w:lang w:bidi="ar-SA"/>
        </w:rPr>
      </w:pPr>
    </w:p>
    <w:p w14:paraId="5A1014CF" w14:textId="3B4D7FA5" w:rsidR="00E3347E" w:rsidRDefault="00E3347E" w:rsidP="000E1ED4">
      <w:pPr>
        <w:widowControl/>
        <w:rPr>
          <w:lang w:bidi="ar-SA"/>
        </w:rPr>
      </w:pPr>
    </w:p>
    <w:p w14:paraId="4636B1BD" w14:textId="77777777" w:rsidR="00E3347E" w:rsidRPr="000E1ED4" w:rsidRDefault="00E3347E" w:rsidP="000E1ED4">
      <w:pPr>
        <w:widowControl/>
        <w:rPr>
          <w:lang w:bidi="ar-SA"/>
        </w:rPr>
      </w:pPr>
    </w:p>
    <w:p w14:paraId="198E6C6D" w14:textId="77777777" w:rsidR="00E375FD" w:rsidRPr="000109D1" w:rsidRDefault="000E1ED4" w:rsidP="00E375FD">
      <w:pPr>
        <w:rPr>
          <w:rFonts w:cs="Arial"/>
        </w:rPr>
      </w:pPr>
      <w:r w:rsidRPr="000E1ED4">
        <w:rPr>
          <w:lang w:bidi="ar-SA"/>
        </w:rPr>
        <w:lastRenderedPageBreak/>
        <w:t xml:space="preserve">For consumers of foods containing sulphites, mean estimated dietary exposures were below the group ADI for all Australian and New Zealand population groups assessed. </w:t>
      </w:r>
      <w:r w:rsidR="00E375FD" w:rsidRPr="000109D1">
        <w:rPr>
          <w:rFonts w:cs="Arial"/>
        </w:rPr>
        <w:t>For high consumers, 90</w:t>
      </w:r>
      <w:r w:rsidR="00E375FD" w:rsidRPr="000109D1">
        <w:rPr>
          <w:rFonts w:cs="Arial"/>
          <w:vertAlign w:val="superscript"/>
        </w:rPr>
        <w:t>th</w:t>
      </w:r>
      <w:r w:rsidR="00E375FD" w:rsidRPr="000109D1">
        <w:rPr>
          <w:rFonts w:cs="Arial"/>
        </w:rPr>
        <w:t xml:space="preserve"> percentile exposures to sulphites were also below the group ADI for all Australian and New Zealand population groups, except for Australian children aged </w:t>
      </w:r>
    </w:p>
    <w:p w14:paraId="10D851A0" w14:textId="0E257054" w:rsidR="001E0375" w:rsidRPr="000E1ED4" w:rsidRDefault="00E375FD" w:rsidP="000E1ED4">
      <w:pPr>
        <w:widowControl/>
        <w:rPr>
          <w:lang w:bidi="ar-SA"/>
        </w:rPr>
      </w:pPr>
      <w:r w:rsidRPr="000109D1">
        <w:rPr>
          <w:rFonts w:cs="Arial"/>
        </w:rPr>
        <w:t>2</w:t>
      </w:r>
      <w:r w:rsidRPr="000109D1">
        <w:rPr>
          <w:rFonts w:cs="Arial"/>
        </w:rPr>
        <w:sym w:font="Symbol" w:char="F02D"/>
      </w:r>
      <w:r w:rsidRPr="000109D1">
        <w:rPr>
          <w:rFonts w:cs="Arial"/>
        </w:rPr>
        <w:t>5 years and New Zealand boys aged 5</w:t>
      </w:r>
      <w:r w:rsidRPr="000109D1">
        <w:rPr>
          <w:rFonts w:cs="Arial"/>
        </w:rPr>
        <w:sym w:font="Symbol" w:char="F02D"/>
      </w:r>
      <w:r w:rsidRPr="000109D1">
        <w:rPr>
          <w:rFonts w:cs="Arial"/>
        </w:rPr>
        <w:t>12 years, estimated at 130% and 110% of the ADI, respectively. It is considered likely that younger New Zealand children, aged 2</w:t>
      </w:r>
      <w:r w:rsidRPr="000109D1">
        <w:rPr>
          <w:rFonts w:cs="Arial"/>
        </w:rPr>
        <w:sym w:font="Symbol" w:char="F02D"/>
      </w:r>
      <w:r w:rsidRPr="000109D1">
        <w:rPr>
          <w:rFonts w:cs="Arial"/>
        </w:rPr>
        <w:t>4 years, would also exceed the group ADI at the 90</w:t>
      </w:r>
      <w:r w:rsidRPr="000109D1">
        <w:rPr>
          <w:rFonts w:cs="Arial"/>
          <w:vertAlign w:val="superscript"/>
        </w:rPr>
        <w:t>th</w:t>
      </w:r>
      <w:r w:rsidRPr="000109D1">
        <w:rPr>
          <w:rFonts w:cs="Arial"/>
        </w:rPr>
        <w:t xml:space="preserve"> percentile of exposure, similar to Australian children aged 2</w:t>
      </w:r>
      <w:r w:rsidRPr="000109D1">
        <w:rPr>
          <w:rFonts w:cs="Arial"/>
        </w:rPr>
        <w:sym w:font="Symbol" w:char="F02D"/>
      </w:r>
      <w:r w:rsidRPr="000109D1">
        <w:rPr>
          <w:rFonts w:cs="Arial"/>
        </w:rPr>
        <w:t xml:space="preserve">5 years. </w:t>
      </w:r>
      <w:r w:rsidR="000E1ED4" w:rsidRPr="000E1ED4">
        <w:rPr>
          <w:lang w:bidi="ar-SA"/>
        </w:rPr>
        <w:t>Whilst th</w:t>
      </w:r>
      <w:r w:rsidR="00F77CD8">
        <w:rPr>
          <w:lang w:bidi="ar-SA"/>
        </w:rPr>
        <w:t>e</w:t>
      </w:r>
      <w:r w:rsidR="000E1ED4" w:rsidRPr="000E1ED4">
        <w:rPr>
          <w:lang w:bidi="ar-SA"/>
        </w:rPr>
        <w:t xml:space="preserve"> level of exposure </w:t>
      </w:r>
      <w:r w:rsidR="00F77CD8">
        <w:rPr>
          <w:lang w:bidi="ar-SA"/>
        </w:rPr>
        <w:t xml:space="preserve">for Australian children </w:t>
      </w:r>
      <w:r w:rsidR="000E1ED4" w:rsidRPr="000E1ED4">
        <w:rPr>
          <w:lang w:bidi="ar-SA"/>
        </w:rPr>
        <w:t>is above the group ADI, it does show a distinct reduction for the same age groups, compared with the previous Australian dietary exposure assessment, reported in the 21</w:t>
      </w:r>
      <w:r w:rsidR="000E1ED4" w:rsidRPr="000E1ED4">
        <w:rPr>
          <w:vertAlign w:val="superscript"/>
          <w:lang w:bidi="ar-SA"/>
        </w:rPr>
        <w:t>st</w:t>
      </w:r>
      <w:r w:rsidR="000E1ED4" w:rsidRPr="000E1ED4">
        <w:rPr>
          <w:lang w:bidi="ar-SA"/>
        </w:rPr>
        <w:t xml:space="preserve"> ATDS</w:t>
      </w:r>
      <w:r w:rsidR="00E73212">
        <w:rPr>
          <w:lang w:bidi="ar-SA"/>
        </w:rPr>
        <w:t>.</w:t>
      </w:r>
    </w:p>
    <w:p w14:paraId="359E7595" w14:textId="0400CA4B" w:rsidR="009974CE" w:rsidRPr="009974CE" w:rsidRDefault="009974CE" w:rsidP="000E1ED4">
      <w:pPr>
        <w:pStyle w:val="Heading3"/>
      </w:pPr>
      <w:bookmarkStart w:id="49" w:name="_Toc451340591"/>
      <w:r>
        <w:t>2.</w:t>
      </w:r>
      <w:r w:rsidR="008B67A2">
        <w:t>1</w:t>
      </w:r>
      <w:r>
        <w:t>.</w:t>
      </w:r>
      <w:r w:rsidR="006D15E3">
        <w:t>4</w:t>
      </w:r>
      <w:r w:rsidR="0012139C">
        <w:tab/>
      </w:r>
      <w:r w:rsidR="004C0110">
        <w:t>Chemical hazard assessment</w:t>
      </w:r>
      <w:bookmarkEnd w:id="49"/>
    </w:p>
    <w:p w14:paraId="4EB2D587" w14:textId="57B7BD58" w:rsidR="000E1ED4" w:rsidRPr="000E1ED4" w:rsidRDefault="008313B7" w:rsidP="000E1ED4">
      <w:pPr>
        <w:rPr>
          <w:szCs w:val="22"/>
        </w:rPr>
      </w:pPr>
      <w:r>
        <w:rPr>
          <w:rFonts w:cs="Arial"/>
          <w:szCs w:val="22"/>
          <w:lang w:bidi="ar-SA"/>
        </w:rPr>
        <w:t xml:space="preserve">A full hazard assessment for sulphites is presented in SD1. </w:t>
      </w:r>
      <w:r w:rsidRPr="006372E2">
        <w:rPr>
          <w:rFonts w:cs="Arial"/>
          <w:szCs w:val="22"/>
          <w:lang w:bidi="ar-SA"/>
        </w:rPr>
        <w:t>In 1973</w:t>
      </w:r>
      <w:r w:rsidR="008B3388">
        <w:rPr>
          <w:rFonts w:cs="Arial"/>
          <w:szCs w:val="22"/>
          <w:lang w:bidi="ar-SA"/>
        </w:rPr>
        <w:t>,</w:t>
      </w:r>
      <w:r w:rsidRPr="006372E2">
        <w:rPr>
          <w:rFonts w:cs="Arial"/>
          <w:szCs w:val="22"/>
          <w:lang w:bidi="ar-SA"/>
        </w:rPr>
        <w:t xml:space="preserve"> JECFA established a</w:t>
      </w:r>
      <w:r>
        <w:rPr>
          <w:rFonts w:cs="Arial"/>
          <w:szCs w:val="22"/>
          <w:lang w:bidi="ar-SA"/>
        </w:rPr>
        <w:t xml:space="preserve"> group </w:t>
      </w:r>
      <w:r w:rsidRPr="006372E2">
        <w:rPr>
          <w:rFonts w:cs="Arial"/>
          <w:szCs w:val="22"/>
          <w:lang w:bidi="ar-SA"/>
        </w:rPr>
        <w:t xml:space="preserve">ADI </w:t>
      </w:r>
      <w:r>
        <w:rPr>
          <w:rFonts w:cs="Arial"/>
          <w:szCs w:val="22"/>
          <w:lang w:bidi="ar-SA"/>
        </w:rPr>
        <w:t>for sulphites of 0</w:t>
      </w:r>
      <w:r w:rsidR="008B3388">
        <w:rPr>
          <w:rFonts w:cs="Arial"/>
          <w:szCs w:val="22"/>
          <w:lang w:bidi="ar-SA"/>
        </w:rPr>
        <w:sym w:font="Symbol" w:char="F02D"/>
      </w:r>
      <w:r>
        <w:rPr>
          <w:rFonts w:cs="Arial"/>
          <w:szCs w:val="22"/>
          <w:lang w:bidi="ar-SA"/>
        </w:rPr>
        <w:t>0.7mg/</w:t>
      </w:r>
      <w:r w:rsidR="00941A40">
        <w:rPr>
          <w:rFonts w:cs="Arial"/>
          <w:szCs w:val="22"/>
          <w:lang w:bidi="ar-SA"/>
        </w:rPr>
        <w:t>kg based</w:t>
      </w:r>
      <w:r w:rsidRPr="006372E2">
        <w:rPr>
          <w:rFonts w:cs="Arial"/>
          <w:szCs w:val="22"/>
          <w:lang w:bidi="ar-SA"/>
        </w:rPr>
        <w:t xml:space="preserve"> on </w:t>
      </w:r>
      <w:r>
        <w:rPr>
          <w:rFonts w:cs="Arial"/>
          <w:szCs w:val="22"/>
          <w:lang w:bidi="ar-SA"/>
        </w:rPr>
        <w:t xml:space="preserve">a </w:t>
      </w:r>
      <w:r w:rsidR="007E1164">
        <w:rPr>
          <w:rFonts w:cs="Arial"/>
          <w:szCs w:val="22"/>
          <w:lang w:bidi="ar-SA"/>
        </w:rPr>
        <w:t>2</w:t>
      </w:r>
      <w:r w:rsidR="008B3388">
        <w:rPr>
          <w:rFonts w:cs="Arial"/>
          <w:szCs w:val="22"/>
          <w:lang w:bidi="ar-SA"/>
        </w:rPr>
        <w:t>-</w:t>
      </w:r>
      <w:r w:rsidR="007E1164">
        <w:rPr>
          <w:rFonts w:cs="Arial"/>
          <w:szCs w:val="22"/>
          <w:lang w:bidi="ar-SA"/>
        </w:rPr>
        <w:t>year</w:t>
      </w:r>
      <w:r>
        <w:rPr>
          <w:rFonts w:cs="Arial"/>
          <w:szCs w:val="22"/>
          <w:lang w:bidi="ar-SA"/>
        </w:rPr>
        <w:t xml:space="preserve"> rat study (</w:t>
      </w:r>
      <w:proofErr w:type="spellStart"/>
      <w:r w:rsidRPr="006372E2">
        <w:rPr>
          <w:rFonts w:cs="Arial"/>
          <w:szCs w:val="22"/>
          <w:lang w:bidi="ar-SA"/>
        </w:rPr>
        <w:t>Til</w:t>
      </w:r>
      <w:proofErr w:type="spellEnd"/>
      <w:r w:rsidR="006A3B2C">
        <w:rPr>
          <w:rFonts w:cs="Arial"/>
          <w:szCs w:val="22"/>
          <w:lang w:bidi="ar-SA"/>
        </w:rPr>
        <w:t>,</w:t>
      </w:r>
      <w:r w:rsidRPr="006372E2">
        <w:rPr>
          <w:rFonts w:cs="Arial"/>
          <w:szCs w:val="22"/>
          <w:lang w:bidi="ar-SA"/>
        </w:rPr>
        <w:t xml:space="preserve"> </w:t>
      </w:r>
      <w:r w:rsidRPr="006372E2">
        <w:rPr>
          <w:rFonts w:cs="Arial"/>
          <w:i/>
          <w:szCs w:val="22"/>
          <w:lang w:bidi="ar-SA"/>
        </w:rPr>
        <w:t>et al.</w:t>
      </w:r>
      <w:r w:rsidRPr="006372E2">
        <w:rPr>
          <w:rFonts w:cs="Arial"/>
          <w:szCs w:val="22"/>
          <w:lang w:bidi="ar-SA"/>
        </w:rPr>
        <w:t xml:space="preserve"> 1972)</w:t>
      </w:r>
      <w:r>
        <w:rPr>
          <w:rFonts w:cs="Arial"/>
          <w:szCs w:val="22"/>
          <w:lang w:bidi="ar-SA"/>
        </w:rPr>
        <w:t xml:space="preserve">. </w:t>
      </w:r>
      <w:r w:rsidR="007E1164" w:rsidRPr="007E1164">
        <w:rPr>
          <w:rFonts w:cs="Arial"/>
          <w:szCs w:val="22"/>
          <w:lang w:bidi="ar-SA"/>
        </w:rPr>
        <w:t>D</w:t>
      </w:r>
      <w:r w:rsidRPr="007E1164">
        <w:rPr>
          <w:rFonts w:cs="Arial"/>
          <w:szCs w:val="22"/>
          <w:lang w:bidi="ar-SA"/>
        </w:rPr>
        <w:t xml:space="preserve">ietary exposure to sulphites </w:t>
      </w:r>
      <w:r w:rsidR="007E1164" w:rsidRPr="007E1164">
        <w:rPr>
          <w:rFonts w:cs="Arial"/>
          <w:szCs w:val="22"/>
          <w:lang w:bidi="ar-SA"/>
        </w:rPr>
        <w:t xml:space="preserve">resulted in </w:t>
      </w:r>
      <w:r w:rsidRPr="007E1164">
        <w:rPr>
          <w:rFonts w:cs="Arial"/>
          <w:szCs w:val="22"/>
          <w:lang w:bidi="ar-SA"/>
        </w:rPr>
        <w:t>gastric mucosal lesions. Ho</w:t>
      </w:r>
      <w:r>
        <w:rPr>
          <w:rFonts w:cs="Arial"/>
          <w:szCs w:val="22"/>
          <w:lang w:bidi="ar-SA"/>
        </w:rPr>
        <w:t xml:space="preserve">wever, </w:t>
      </w:r>
      <w:r w:rsidRPr="009B7255">
        <w:rPr>
          <w:rFonts w:cs="Arial"/>
          <w:szCs w:val="22"/>
        </w:rPr>
        <w:t xml:space="preserve">the presence of gastric mucosal lesions in rat </w:t>
      </w:r>
      <w:r>
        <w:rPr>
          <w:rFonts w:cs="Arial"/>
          <w:szCs w:val="22"/>
        </w:rPr>
        <w:t xml:space="preserve">and pig </w:t>
      </w:r>
      <w:r w:rsidRPr="009B7255">
        <w:rPr>
          <w:rFonts w:cs="Arial"/>
          <w:szCs w:val="22"/>
        </w:rPr>
        <w:t xml:space="preserve">studies of </w:t>
      </w:r>
      <w:proofErr w:type="spellStart"/>
      <w:r>
        <w:rPr>
          <w:rFonts w:cs="Arial"/>
          <w:szCs w:val="22"/>
        </w:rPr>
        <w:t>meta</w:t>
      </w:r>
      <w:r w:rsidRPr="009B7255">
        <w:rPr>
          <w:rFonts w:cs="Arial"/>
          <w:szCs w:val="22"/>
        </w:rPr>
        <w:t>bisulphites</w:t>
      </w:r>
      <w:proofErr w:type="spellEnd"/>
      <w:r w:rsidRPr="009B7255">
        <w:rPr>
          <w:rFonts w:cs="Arial"/>
          <w:szCs w:val="22"/>
        </w:rPr>
        <w:t xml:space="preserve"> is not a consistent finding</w:t>
      </w:r>
      <w:r>
        <w:rPr>
          <w:rFonts w:cs="Arial"/>
          <w:szCs w:val="22"/>
        </w:rPr>
        <w:t xml:space="preserve"> across a number of studies and is not </w:t>
      </w:r>
      <w:r w:rsidRPr="006372E2">
        <w:rPr>
          <w:rFonts w:cs="Arial"/>
          <w:szCs w:val="22"/>
          <w:lang w:bidi="ar-SA"/>
        </w:rPr>
        <w:t xml:space="preserve">reproducible in laboratories other than the laboratory in which it was first reported. </w:t>
      </w:r>
      <w:r>
        <w:rPr>
          <w:rFonts w:cs="Arial"/>
          <w:szCs w:val="22"/>
          <w:lang w:bidi="ar-SA"/>
        </w:rPr>
        <w:t>On the basis that this endpoint and study may not be appropriate for the setting of an ADI</w:t>
      </w:r>
      <w:r w:rsidR="008B3388">
        <w:rPr>
          <w:rFonts w:cs="Arial"/>
          <w:szCs w:val="22"/>
          <w:lang w:bidi="ar-SA"/>
        </w:rPr>
        <w:t>,</w:t>
      </w:r>
      <w:r>
        <w:rPr>
          <w:rFonts w:cs="Arial"/>
          <w:szCs w:val="22"/>
          <w:lang w:bidi="ar-SA"/>
        </w:rPr>
        <w:t xml:space="preserve"> FSANZ considered whether other studies would be more appropriate</w:t>
      </w:r>
      <w:r w:rsidR="007E1164">
        <w:rPr>
          <w:rFonts w:cs="Arial"/>
          <w:szCs w:val="22"/>
          <w:lang w:bidi="ar-SA"/>
        </w:rPr>
        <w:t xml:space="preserve"> to base an ADI on</w:t>
      </w:r>
      <w:r>
        <w:rPr>
          <w:rFonts w:cs="Arial"/>
          <w:szCs w:val="22"/>
          <w:lang w:bidi="ar-SA"/>
        </w:rPr>
        <w:t>.</w:t>
      </w:r>
      <w:r w:rsidR="000E1ED4" w:rsidRPr="000E1ED4">
        <w:t xml:space="preserve"> </w:t>
      </w:r>
      <w:r w:rsidR="000E1ED4" w:rsidRPr="000E1ED4">
        <w:rPr>
          <w:szCs w:val="22"/>
        </w:rPr>
        <w:t xml:space="preserve">Limited evidence suggests that selection of a more reproducible adverse effect, such as impaired bodyweight gain or decreased haematocrit, would result in a higher NOAEL and therefore a higher ADI. There is no evidence that sulphites are developmental or reproductive toxicants, and although sulphites are genotoxic </w:t>
      </w:r>
      <w:r w:rsidR="000E1ED4" w:rsidRPr="000E1ED4">
        <w:rPr>
          <w:i/>
          <w:szCs w:val="22"/>
        </w:rPr>
        <w:t>in vitro</w:t>
      </w:r>
      <w:r w:rsidR="000E1ED4" w:rsidRPr="000E1ED4">
        <w:rPr>
          <w:szCs w:val="22"/>
        </w:rPr>
        <w:t xml:space="preserve">, there is no evidence that they are carcinogenic </w:t>
      </w:r>
      <w:r w:rsidR="000E1ED4" w:rsidRPr="000E1ED4">
        <w:rPr>
          <w:i/>
          <w:szCs w:val="22"/>
        </w:rPr>
        <w:t>in vivo</w:t>
      </w:r>
      <w:r w:rsidR="000E1ED4" w:rsidRPr="000E1ED4">
        <w:rPr>
          <w:szCs w:val="22"/>
        </w:rPr>
        <w:t>. Human toxicity is limited to hypersensitivity reactions in limited subpopulations. This uncertainty around the most relevant toxicological endpoint to establish a suitable HBGV can only be overcome if a robust long-term repeat dose study is completed.</w:t>
      </w:r>
    </w:p>
    <w:p w14:paraId="349DBDF1" w14:textId="75D0D526" w:rsidR="008313B7" w:rsidRDefault="008313B7" w:rsidP="008313B7">
      <w:pPr>
        <w:widowControl/>
        <w:rPr>
          <w:rFonts w:cs="Arial"/>
          <w:lang w:bidi="ar-SA"/>
        </w:rPr>
      </w:pPr>
    </w:p>
    <w:p w14:paraId="4CAA2B41" w14:textId="050828BF" w:rsidR="008B3388" w:rsidRDefault="008313B7" w:rsidP="008A7A42">
      <w:pPr>
        <w:widowControl/>
        <w:rPr>
          <w:rFonts w:cs="Arial"/>
          <w:bCs/>
        </w:rPr>
      </w:pPr>
      <w:r>
        <w:rPr>
          <w:rFonts w:cs="Arial"/>
          <w:lang w:bidi="ar-SA"/>
        </w:rPr>
        <w:t>O</w:t>
      </w:r>
      <w:r w:rsidRPr="006372E2">
        <w:rPr>
          <w:rFonts w:cs="Arial"/>
          <w:lang w:bidi="ar-SA"/>
        </w:rPr>
        <w:t xml:space="preserve">wing to </w:t>
      </w:r>
      <w:r>
        <w:rPr>
          <w:rFonts w:cs="Arial"/>
          <w:lang w:bidi="ar-SA"/>
        </w:rPr>
        <w:t xml:space="preserve">these </w:t>
      </w:r>
      <w:r w:rsidRPr="006372E2">
        <w:rPr>
          <w:rFonts w:cs="Arial"/>
          <w:lang w:bidi="ar-SA"/>
        </w:rPr>
        <w:t>limitations in the available toxicological studies</w:t>
      </w:r>
      <w:r>
        <w:rPr>
          <w:rFonts w:cs="Arial"/>
          <w:lang w:bidi="ar-SA"/>
        </w:rPr>
        <w:t>,</w:t>
      </w:r>
      <w:r w:rsidRPr="006372E2">
        <w:rPr>
          <w:rFonts w:cs="Arial"/>
          <w:lang w:bidi="ar-SA"/>
        </w:rPr>
        <w:t xml:space="preserve"> </w:t>
      </w:r>
      <w:r>
        <w:rPr>
          <w:rFonts w:cs="Arial"/>
          <w:lang w:bidi="ar-SA"/>
        </w:rPr>
        <w:t>i</w:t>
      </w:r>
      <w:r w:rsidRPr="006372E2">
        <w:rPr>
          <w:rFonts w:cs="Arial"/>
          <w:lang w:bidi="ar-SA"/>
        </w:rPr>
        <w:t>n 2015, FSANZ commissioned a short-term toxicological study in rats</w:t>
      </w:r>
      <w:r>
        <w:rPr>
          <w:rFonts w:cs="Arial"/>
          <w:lang w:bidi="ar-SA"/>
        </w:rPr>
        <w:t>.</w:t>
      </w:r>
      <w:r w:rsidRPr="006372E2">
        <w:rPr>
          <w:rFonts w:cs="Arial"/>
          <w:lang w:bidi="ar-SA"/>
        </w:rPr>
        <w:t xml:space="preserve"> </w:t>
      </w:r>
      <w:r>
        <w:rPr>
          <w:rFonts w:cs="Arial"/>
          <w:lang w:bidi="ar-SA"/>
        </w:rPr>
        <w:t xml:space="preserve">This </w:t>
      </w:r>
      <w:r w:rsidRPr="004615F4">
        <w:rPr>
          <w:rFonts w:cs="Arial"/>
        </w:rPr>
        <w:t>showed</w:t>
      </w:r>
      <w:r w:rsidRPr="00475239">
        <w:rPr>
          <w:rFonts w:cs="Arial"/>
        </w:rPr>
        <w:t xml:space="preserve"> no evidence of acute gastric irrita</w:t>
      </w:r>
      <w:r w:rsidRPr="00DE298F">
        <w:rPr>
          <w:rFonts w:cs="Arial"/>
        </w:rPr>
        <w:t>tion at much higher doses of sulphite</w:t>
      </w:r>
      <w:r w:rsidR="0066266C">
        <w:rPr>
          <w:rFonts w:cs="Arial"/>
        </w:rPr>
        <w:t>s</w:t>
      </w:r>
      <w:r w:rsidRPr="005E03FD">
        <w:rPr>
          <w:rFonts w:cs="Arial"/>
        </w:rPr>
        <w:t xml:space="preserve"> </w:t>
      </w:r>
      <w:r w:rsidRPr="002B3D69">
        <w:rPr>
          <w:rFonts w:cs="Arial"/>
        </w:rPr>
        <w:t xml:space="preserve">than </w:t>
      </w:r>
      <w:r>
        <w:rPr>
          <w:rFonts w:cs="Arial"/>
        </w:rPr>
        <w:t>the NOAEL on which the current ADI was set</w:t>
      </w:r>
      <w:r w:rsidRPr="002B3D69">
        <w:rPr>
          <w:rFonts w:cs="Arial"/>
        </w:rPr>
        <w:t xml:space="preserve"> by JECFA</w:t>
      </w:r>
      <w:r>
        <w:rPr>
          <w:rFonts w:cs="Arial"/>
        </w:rPr>
        <w:t xml:space="preserve"> (Dalefield</w:t>
      </w:r>
      <w:r w:rsidR="00F77CD8">
        <w:rPr>
          <w:rFonts w:cs="Arial"/>
        </w:rPr>
        <w:t xml:space="preserve"> and Mueller</w:t>
      </w:r>
      <w:r>
        <w:rPr>
          <w:rFonts w:cs="Arial"/>
        </w:rPr>
        <w:t>, submitted)</w:t>
      </w:r>
      <w:r w:rsidRPr="002B3D69">
        <w:rPr>
          <w:rFonts w:cs="Arial"/>
        </w:rPr>
        <w:t xml:space="preserve">. The highest dose at which no effects were found in the FSANZ study is more than </w:t>
      </w:r>
      <w:r w:rsidR="008B3388">
        <w:rPr>
          <w:rFonts w:cs="Arial"/>
        </w:rPr>
        <w:t>five</w:t>
      </w:r>
      <w:r w:rsidRPr="002B3D69">
        <w:rPr>
          <w:rFonts w:cs="Arial"/>
        </w:rPr>
        <w:t xml:space="preserve"> times greater than the NOAEL</w:t>
      </w:r>
      <w:r>
        <w:rPr>
          <w:rFonts w:cs="Arial"/>
        </w:rPr>
        <w:t xml:space="preserve"> in the </w:t>
      </w:r>
      <w:r w:rsidRPr="005210CC">
        <w:rPr>
          <w:rFonts w:cs="Arial"/>
        </w:rPr>
        <w:t>1972</w:t>
      </w:r>
      <w:r>
        <w:rPr>
          <w:rFonts w:cs="Arial"/>
        </w:rPr>
        <w:t xml:space="preserve"> study </w:t>
      </w:r>
      <w:r w:rsidRPr="00617122">
        <w:rPr>
          <w:rFonts w:cs="Arial"/>
        </w:rPr>
        <w:t>(</w:t>
      </w:r>
      <w:proofErr w:type="spellStart"/>
      <w:r>
        <w:rPr>
          <w:rFonts w:cs="Arial"/>
        </w:rPr>
        <w:t>Til</w:t>
      </w:r>
      <w:proofErr w:type="spellEnd"/>
      <w:r>
        <w:rPr>
          <w:rFonts w:cs="Arial"/>
        </w:rPr>
        <w:t xml:space="preserve">, </w:t>
      </w:r>
      <w:proofErr w:type="gramStart"/>
      <w:r w:rsidRPr="003C6F97">
        <w:rPr>
          <w:rFonts w:cs="Arial"/>
          <w:i/>
        </w:rPr>
        <w:t>et</w:t>
      </w:r>
      <w:proofErr w:type="gramEnd"/>
      <w:r w:rsidRPr="003C6F97">
        <w:rPr>
          <w:rFonts w:cs="Arial"/>
          <w:i/>
        </w:rPr>
        <w:t xml:space="preserve"> al</w:t>
      </w:r>
      <w:r>
        <w:rPr>
          <w:rFonts w:cs="Arial"/>
        </w:rPr>
        <w:t>.1972</w:t>
      </w:r>
      <w:r w:rsidRPr="00617122">
        <w:rPr>
          <w:rFonts w:cs="Arial"/>
        </w:rPr>
        <w:t>)</w:t>
      </w:r>
      <w:r w:rsidRPr="002B3D69">
        <w:rPr>
          <w:rFonts w:cs="Arial"/>
        </w:rPr>
        <w:t xml:space="preserve">. </w:t>
      </w:r>
      <w:r w:rsidR="00012996" w:rsidRPr="00E31762">
        <w:rPr>
          <w:rFonts w:cs="Arial"/>
          <w:bCs/>
        </w:rPr>
        <w:t>A dose</w:t>
      </w:r>
      <w:r w:rsidR="00012996">
        <w:rPr>
          <w:rFonts w:cs="Arial"/>
          <w:bCs/>
        </w:rPr>
        <w:t>-</w:t>
      </w:r>
      <w:r w:rsidR="00012996" w:rsidRPr="00E31762">
        <w:rPr>
          <w:rFonts w:cs="Arial"/>
          <w:bCs/>
        </w:rPr>
        <w:t>range finding study</w:t>
      </w:r>
      <w:r w:rsidR="00012996" w:rsidRPr="00E31762" w:rsidDel="00477EB0">
        <w:rPr>
          <w:rFonts w:cs="Arial"/>
          <w:bCs/>
        </w:rPr>
        <w:t xml:space="preserve"> </w:t>
      </w:r>
      <w:r w:rsidR="00012996">
        <w:rPr>
          <w:rFonts w:cs="Arial"/>
          <w:bCs/>
        </w:rPr>
        <w:t xml:space="preserve">– such as that commissioned by FSANZ - </w:t>
      </w:r>
      <w:r w:rsidR="00012996" w:rsidRPr="00E31762">
        <w:rPr>
          <w:rFonts w:cs="Arial"/>
          <w:bCs/>
        </w:rPr>
        <w:t xml:space="preserve">is not suitable to establish an ADI because of its </w:t>
      </w:r>
      <w:r w:rsidR="00012996">
        <w:rPr>
          <w:rFonts w:cs="Arial"/>
          <w:bCs/>
        </w:rPr>
        <w:t xml:space="preserve">short </w:t>
      </w:r>
      <w:r w:rsidR="00012996" w:rsidRPr="00E31762">
        <w:rPr>
          <w:rFonts w:cs="Arial"/>
          <w:bCs/>
        </w:rPr>
        <w:t>duration, small group sizes and the absence of a full range of measured toxicological endpoints</w:t>
      </w:r>
      <w:r w:rsidR="006A3B2C">
        <w:rPr>
          <w:rFonts w:cs="Arial"/>
          <w:bCs/>
        </w:rPr>
        <w:t>.</w:t>
      </w:r>
      <w:r w:rsidR="00012996" w:rsidRPr="002B3D69">
        <w:rPr>
          <w:rFonts w:cs="Arial"/>
        </w:rPr>
        <w:t xml:space="preserve"> </w:t>
      </w:r>
      <w:r w:rsidR="00012996">
        <w:rPr>
          <w:rFonts w:cs="Arial"/>
        </w:rPr>
        <w:t>However, w</w:t>
      </w:r>
      <w:r w:rsidRPr="002B3D69">
        <w:rPr>
          <w:rFonts w:cs="Arial"/>
        </w:rPr>
        <w:t>hile the FSANZ study was of much shorter duration than the older studies, the supposed mechanism of gastric toxicity of Na</w:t>
      </w:r>
      <w:r w:rsidRPr="00CA529A">
        <w:rPr>
          <w:vertAlign w:val="subscript"/>
        </w:rPr>
        <w:t>2</w:t>
      </w:r>
      <w:r w:rsidRPr="009974CE">
        <w:rPr>
          <w:rFonts w:cs="Arial"/>
        </w:rPr>
        <w:t>S</w:t>
      </w:r>
      <w:r w:rsidRPr="00CA529A">
        <w:rPr>
          <w:rFonts w:cs="Arial"/>
          <w:vertAlign w:val="subscript"/>
        </w:rPr>
        <w:t>2</w:t>
      </w:r>
      <w:r w:rsidRPr="009974CE">
        <w:rPr>
          <w:rFonts w:cs="Arial"/>
        </w:rPr>
        <w:t>O</w:t>
      </w:r>
      <w:r w:rsidRPr="00CA529A">
        <w:rPr>
          <w:rFonts w:cs="Arial"/>
          <w:vertAlign w:val="subscript"/>
        </w:rPr>
        <w:t>5</w:t>
      </w:r>
      <w:r w:rsidRPr="00D13F91">
        <w:rPr>
          <w:rFonts w:cs="Arial"/>
        </w:rPr>
        <w:t xml:space="preserve"> </w:t>
      </w:r>
      <w:r w:rsidRPr="009974CE">
        <w:rPr>
          <w:rFonts w:cs="Arial"/>
        </w:rPr>
        <w:t>is direct irritation and</w:t>
      </w:r>
      <w:r w:rsidRPr="00D13F91">
        <w:rPr>
          <w:rFonts w:cs="Arial"/>
        </w:rPr>
        <w:t xml:space="preserve"> </w:t>
      </w:r>
      <w:r w:rsidRPr="009974CE">
        <w:rPr>
          <w:rFonts w:cs="Arial"/>
        </w:rPr>
        <w:t xml:space="preserve">it is difficult to account for the findings of chronic irritation in chronic studies when there was a lack of evidence of acute irritation in the </w:t>
      </w:r>
      <w:r>
        <w:rPr>
          <w:rFonts w:cs="Arial"/>
        </w:rPr>
        <w:t>7</w:t>
      </w:r>
      <w:r w:rsidRPr="009974CE">
        <w:rPr>
          <w:rFonts w:cs="Arial"/>
        </w:rPr>
        <w:t>-day study</w:t>
      </w:r>
      <w:r>
        <w:rPr>
          <w:rFonts w:cs="Arial"/>
        </w:rPr>
        <w:t>.</w:t>
      </w:r>
      <w:r w:rsidRPr="00E31762">
        <w:rPr>
          <w:rFonts w:cs="Arial"/>
          <w:bCs/>
        </w:rPr>
        <w:t xml:space="preserve"> </w:t>
      </w:r>
    </w:p>
    <w:p w14:paraId="38579AEE" w14:textId="77777777" w:rsidR="008B3388" w:rsidRDefault="008B3388" w:rsidP="008A7A42">
      <w:pPr>
        <w:widowControl/>
        <w:rPr>
          <w:rFonts w:cs="Arial"/>
          <w:bCs/>
        </w:rPr>
      </w:pPr>
    </w:p>
    <w:p w14:paraId="04EF90AA" w14:textId="3EE7CF5B" w:rsidR="008313B7" w:rsidRDefault="00F77CD8" w:rsidP="008A7A42">
      <w:pPr>
        <w:widowControl/>
        <w:rPr>
          <w:rFonts w:cs="Arial"/>
          <w:lang w:bidi="ar-SA"/>
        </w:rPr>
      </w:pPr>
      <w:r>
        <w:rPr>
          <w:rFonts w:cs="Arial"/>
          <w:bCs/>
        </w:rPr>
        <w:t>T</w:t>
      </w:r>
      <w:r w:rsidR="008313B7" w:rsidRPr="00E31762">
        <w:rPr>
          <w:rFonts w:cs="Arial"/>
          <w:bCs/>
        </w:rPr>
        <w:t xml:space="preserve">he </w:t>
      </w:r>
      <w:r w:rsidR="008313B7">
        <w:rPr>
          <w:rFonts w:cs="Arial"/>
          <w:bCs/>
        </w:rPr>
        <w:t>FSANZ 7-day dose</w:t>
      </w:r>
      <w:r w:rsidR="006319AC">
        <w:rPr>
          <w:rFonts w:cs="Arial"/>
          <w:bCs/>
        </w:rPr>
        <w:t>-</w:t>
      </w:r>
      <w:r w:rsidR="008313B7">
        <w:rPr>
          <w:rFonts w:cs="Arial"/>
          <w:bCs/>
        </w:rPr>
        <w:t>range finding study</w:t>
      </w:r>
      <w:r w:rsidR="008313B7" w:rsidRPr="00E31762">
        <w:rPr>
          <w:rFonts w:cs="Arial"/>
          <w:bCs/>
        </w:rPr>
        <w:t xml:space="preserve"> and 1990 study</w:t>
      </w:r>
      <w:r w:rsidR="008313B7">
        <w:rPr>
          <w:rFonts w:cs="Arial"/>
          <w:bCs/>
        </w:rPr>
        <w:t xml:space="preserve"> (</w:t>
      </w:r>
      <w:proofErr w:type="spellStart"/>
      <w:r w:rsidR="008313B7">
        <w:rPr>
          <w:rFonts w:cs="Arial"/>
          <w:bCs/>
        </w:rPr>
        <w:t>Til</w:t>
      </w:r>
      <w:proofErr w:type="spellEnd"/>
      <w:r w:rsidR="008313B7" w:rsidRPr="00EF507B">
        <w:rPr>
          <w:rFonts w:cs="Arial"/>
          <w:bCs/>
        </w:rPr>
        <w:t xml:space="preserve"> </w:t>
      </w:r>
      <w:r w:rsidR="008313B7" w:rsidRPr="003C6F97">
        <w:rPr>
          <w:rFonts w:cs="Arial"/>
          <w:bCs/>
          <w:i/>
        </w:rPr>
        <w:t>et al</w:t>
      </w:r>
      <w:r w:rsidR="008313B7" w:rsidRPr="00EF507B">
        <w:rPr>
          <w:rFonts w:cs="Arial"/>
          <w:bCs/>
        </w:rPr>
        <w:t xml:space="preserve">.1992) </w:t>
      </w:r>
      <w:r w:rsidR="008313B7" w:rsidRPr="00E31762">
        <w:rPr>
          <w:rFonts w:cs="Arial"/>
          <w:bCs/>
        </w:rPr>
        <w:t xml:space="preserve">from the same investigators who performed the long term study on which the current ADI is based suggest that gastric lesions are not reproducibly observed at </w:t>
      </w:r>
      <w:r w:rsidR="008313B7">
        <w:rPr>
          <w:rFonts w:cs="Arial"/>
          <w:bCs/>
        </w:rPr>
        <w:t xml:space="preserve">levels above the NOAEL established in the </w:t>
      </w:r>
      <w:proofErr w:type="spellStart"/>
      <w:r w:rsidR="008313B7">
        <w:rPr>
          <w:rFonts w:cs="Arial"/>
          <w:bCs/>
        </w:rPr>
        <w:t>Til</w:t>
      </w:r>
      <w:proofErr w:type="spellEnd"/>
      <w:r w:rsidR="008313B7">
        <w:rPr>
          <w:rFonts w:cs="Arial"/>
          <w:bCs/>
        </w:rPr>
        <w:t xml:space="preserve"> </w:t>
      </w:r>
      <w:r w:rsidR="008313B7" w:rsidRPr="003C6F97">
        <w:rPr>
          <w:rFonts w:cs="Arial"/>
          <w:bCs/>
          <w:i/>
        </w:rPr>
        <w:t>et al</w:t>
      </w:r>
      <w:r w:rsidR="008313B7">
        <w:rPr>
          <w:rFonts w:cs="Arial"/>
          <w:bCs/>
        </w:rPr>
        <w:t xml:space="preserve"> (1972) study</w:t>
      </w:r>
      <w:r w:rsidR="008313B7" w:rsidRPr="00E31762">
        <w:rPr>
          <w:rFonts w:cs="Arial"/>
          <w:bCs/>
        </w:rPr>
        <w:t xml:space="preserve">. This suggests that the current ADI is probably much </w:t>
      </w:r>
      <w:r w:rsidR="008313B7">
        <w:rPr>
          <w:rFonts w:cs="Arial"/>
          <w:bCs/>
        </w:rPr>
        <w:t>higher</w:t>
      </w:r>
      <w:r w:rsidR="008313B7" w:rsidRPr="00E31762">
        <w:rPr>
          <w:rFonts w:cs="Arial"/>
          <w:bCs/>
        </w:rPr>
        <w:t xml:space="preserve"> than it would be if based on robust evidence from a definitive study conducted to modern experimental standards. A</w:t>
      </w:r>
      <w:r w:rsidR="008313B7">
        <w:rPr>
          <w:rFonts w:cs="Arial"/>
          <w:bCs/>
        </w:rPr>
        <w:t xml:space="preserve"> </w:t>
      </w:r>
      <w:r w:rsidR="008313B7" w:rsidRPr="00E31762">
        <w:rPr>
          <w:rFonts w:cs="Arial"/>
          <w:bCs/>
        </w:rPr>
        <w:t>longer-term study</w:t>
      </w:r>
      <w:r w:rsidR="008313B7">
        <w:rPr>
          <w:rFonts w:cs="Arial"/>
          <w:bCs/>
        </w:rPr>
        <w:t xml:space="preserve"> (e.g. ≥90 days)</w:t>
      </w:r>
      <w:r w:rsidR="008313B7" w:rsidRPr="00E31762">
        <w:rPr>
          <w:rFonts w:cs="Arial"/>
          <w:bCs/>
        </w:rPr>
        <w:t xml:space="preserve"> conforming to contemporary animal testing guidelines </w:t>
      </w:r>
      <w:r w:rsidR="008313B7">
        <w:rPr>
          <w:rFonts w:cs="Arial"/>
          <w:bCs/>
        </w:rPr>
        <w:t>is</w:t>
      </w:r>
      <w:r w:rsidR="008313B7" w:rsidRPr="00E31762">
        <w:rPr>
          <w:rFonts w:cs="Arial"/>
          <w:bCs/>
        </w:rPr>
        <w:t xml:space="preserve"> require</w:t>
      </w:r>
      <w:r w:rsidR="008313B7">
        <w:rPr>
          <w:rFonts w:cs="Arial"/>
          <w:bCs/>
        </w:rPr>
        <w:t xml:space="preserve">d to establish a new ADI. Despite the uncertainty on the true value of the ADI, </w:t>
      </w:r>
      <w:r w:rsidR="008313B7" w:rsidRPr="006372E2">
        <w:rPr>
          <w:rFonts w:cs="Arial"/>
          <w:lang w:bidi="ar-SA"/>
        </w:rPr>
        <w:t>FSANZ is of the opinion that the existing ADI is too low and that current levels of dietary exposure are unlikely to pose a risk for any consumer.</w:t>
      </w:r>
    </w:p>
    <w:p w14:paraId="621E0481" w14:textId="2D5D5DD0" w:rsidR="007B1601" w:rsidRPr="007B1601" w:rsidRDefault="007B1601" w:rsidP="000E1ED4">
      <w:pPr>
        <w:pStyle w:val="Heading3"/>
      </w:pPr>
      <w:bookmarkStart w:id="50" w:name="_Toc440390186"/>
      <w:bookmarkStart w:id="51" w:name="_Toc451340592"/>
      <w:r>
        <w:lastRenderedPageBreak/>
        <w:t>2.</w:t>
      </w:r>
      <w:r w:rsidR="008B67A2">
        <w:t>1</w:t>
      </w:r>
      <w:r>
        <w:t>.5</w:t>
      </w:r>
      <w:r>
        <w:tab/>
      </w:r>
      <w:r w:rsidRPr="007B1601">
        <w:t>Uncertainties and assumptions in the hazard characterisation</w:t>
      </w:r>
      <w:bookmarkEnd w:id="50"/>
      <w:bookmarkEnd w:id="51"/>
    </w:p>
    <w:p w14:paraId="745D39A2" w14:textId="491501B7" w:rsidR="001658A4" w:rsidRDefault="001658A4" w:rsidP="007B1601">
      <w:pPr>
        <w:pStyle w:val="FSBullet1"/>
        <w:numPr>
          <w:ilvl w:val="0"/>
          <w:numId w:val="0"/>
        </w:numPr>
      </w:pPr>
      <w:r w:rsidRPr="001658A4">
        <w:t>The current JECFA ADI is based on a NOAEL for gastric lesions in rats, but these findings are not consistently reproducible and this means that there is great uncertainty a</w:t>
      </w:r>
      <w:r w:rsidR="002E0B8D">
        <w:t xml:space="preserve">bout </w:t>
      </w:r>
      <w:r w:rsidRPr="001658A4">
        <w:t>the dose at which adverse findings are likely to occur</w:t>
      </w:r>
      <w:r w:rsidR="000E1ED4">
        <w:t>.</w:t>
      </w:r>
    </w:p>
    <w:p w14:paraId="427FC801" w14:textId="71E4C1BC" w:rsidR="009974CE" w:rsidRPr="009974CE" w:rsidRDefault="009974CE" w:rsidP="000E1ED4">
      <w:pPr>
        <w:pStyle w:val="Heading3"/>
      </w:pPr>
      <w:bookmarkStart w:id="52" w:name="_Toc451340593"/>
      <w:r w:rsidRPr="009974CE">
        <w:t>2.</w:t>
      </w:r>
      <w:r w:rsidR="008B67A2">
        <w:t>1</w:t>
      </w:r>
      <w:r w:rsidRPr="009974CE">
        <w:t>.</w:t>
      </w:r>
      <w:r>
        <w:t>6</w:t>
      </w:r>
      <w:r w:rsidRPr="009974CE">
        <w:tab/>
        <w:t xml:space="preserve">Risk </w:t>
      </w:r>
      <w:r w:rsidR="002E0B8D">
        <w:t>c</w:t>
      </w:r>
      <w:r w:rsidRPr="009974CE">
        <w:t>haracterisation</w:t>
      </w:r>
      <w:bookmarkEnd w:id="52"/>
      <w:r w:rsidRPr="009974CE">
        <w:t xml:space="preserve"> </w:t>
      </w:r>
    </w:p>
    <w:p w14:paraId="25A103B1" w14:textId="7937A9F9" w:rsidR="004615F4" w:rsidRDefault="009974CE" w:rsidP="00D13F91">
      <w:pPr>
        <w:pStyle w:val="FSBullet1"/>
        <w:numPr>
          <w:ilvl w:val="0"/>
          <w:numId w:val="0"/>
        </w:numPr>
      </w:pPr>
      <w:r w:rsidRPr="009974CE">
        <w:t xml:space="preserve">The conclusion of the risk and technical assessment for benzoates </w:t>
      </w:r>
      <w:r w:rsidR="001E1394">
        <w:t xml:space="preserve">from the updated DEA </w:t>
      </w:r>
      <w:r w:rsidRPr="009974CE">
        <w:t>is that there is no public health and safety concern for the Australian and New Zealand populations arising from consumption of foods containing benzoates.</w:t>
      </w:r>
    </w:p>
    <w:p w14:paraId="0599F28F" w14:textId="77777777" w:rsidR="00EF507B" w:rsidRDefault="00EF507B" w:rsidP="00EF507B">
      <w:pPr>
        <w:rPr>
          <w:lang w:bidi="ar-SA"/>
        </w:rPr>
      </w:pPr>
    </w:p>
    <w:p w14:paraId="0DB8C4EB" w14:textId="24370720" w:rsidR="007A79C3" w:rsidRDefault="002E0B8D" w:rsidP="007A79C3">
      <w:pPr>
        <w:widowControl/>
        <w:rPr>
          <w:rFonts w:cs="Arial"/>
          <w:lang w:bidi="ar-SA"/>
        </w:rPr>
      </w:pPr>
      <w:r>
        <w:rPr>
          <w:rFonts w:cs="Arial"/>
          <w:lang w:bidi="ar-SA"/>
        </w:rPr>
        <w:t xml:space="preserve">Due to </w:t>
      </w:r>
      <w:r w:rsidR="007A79C3" w:rsidRPr="007A79C3">
        <w:rPr>
          <w:rFonts w:cs="Arial"/>
          <w:lang w:bidi="ar-SA"/>
        </w:rPr>
        <w:t xml:space="preserve">new </w:t>
      </w:r>
      <w:r w:rsidR="00FC1A0E">
        <w:rPr>
          <w:rFonts w:cs="Arial"/>
          <w:lang w:bidi="ar-SA"/>
        </w:rPr>
        <w:t>data</w:t>
      </w:r>
      <w:r w:rsidR="007A79C3" w:rsidRPr="007A79C3">
        <w:rPr>
          <w:rFonts w:cs="Arial"/>
          <w:lang w:bidi="ar-SA"/>
        </w:rPr>
        <w:t xml:space="preserve"> </w:t>
      </w:r>
      <w:r>
        <w:rPr>
          <w:rFonts w:cs="Arial"/>
          <w:lang w:bidi="ar-SA"/>
        </w:rPr>
        <w:t xml:space="preserve">suggesting </w:t>
      </w:r>
      <w:r w:rsidR="00FC1A0E">
        <w:rPr>
          <w:rFonts w:cs="Arial"/>
          <w:lang w:bidi="ar-SA"/>
        </w:rPr>
        <w:t xml:space="preserve">the ADI </w:t>
      </w:r>
      <w:r w:rsidR="00F77CD8">
        <w:rPr>
          <w:rFonts w:cs="Arial"/>
          <w:lang w:bidi="ar-SA"/>
        </w:rPr>
        <w:t xml:space="preserve">for sulphites </w:t>
      </w:r>
      <w:r w:rsidR="00FC1A0E">
        <w:rPr>
          <w:rFonts w:cs="Arial"/>
          <w:lang w:bidi="ar-SA"/>
        </w:rPr>
        <w:t>is not robust</w:t>
      </w:r>
      <w:r>
        <w:rPr>
          <w:rFonts w:cs="Arial"/>
          <w:lang w:bidi="ar-SA"/>
        </w:rPr>
        <w:t xml:space="preserve">, and </w:t>
      </w:r>
      <w:r w:rsidR="00FC1A0E">
        <w:rPr>
          <w:rFonts w:cs="Arial"/>
          <w:lang w:bidi="ar-SA"/>
        </w:rPr>
        <w:t>i</w:t>
      </w:r>
      <w:r w:rsidR="00FC1A0E" w:rsidRPr="00FC1A0E">
        <w:rPr>
          <w:rFonts w:cs="Arial"/>
          <w:lang w:bidi="ar-SA"/>
        </w:rPr>
        <w:t xml:space="preserve">n light of a reduction </w:t>
      </w:r>
      <w:r w:rsidR="00BA5310">
        <w:rPr>
          <w:rFonts w:cs="Arial"/>
          <w:lang w:bidi="ar-SA"/>
        </w:rPr>
        <w:t>in sulphite intake</w:t>
      </w:r>
      <w:r w:rsidR="00FC1A0E" w:rsidRPr="00FC1A0E">
        <w:rPr>
          <w:rFonts w:cs="Arial"/>
          <w:lang w:bidi="ar-SA"/>
        </w:rPr>
        <w:t xml:space="preserve"> identified through </w:t>
      </w:r>
      <w:r>
        <w:rPr>
          <w:rFonts w:cs="Arial"/>
          <w:lang w:bidi="ar-SA"/>
        </w:rPr>
        <w:t>the most recent exposure assessments</w:t>
      </w:r>
      <w:r w:rsidR="00FC1A0E" w:rsidRPr="00FC1A0E">
        <w:rPr>
          <w:rFonts w:cs="Arial"/>
          <w:lang w:bidi="ar-SA"/>
        </w:rPr>
        <w:t xml:space="preserve">, FSANZ </w:t>
      </w:r>
      <w:r w:rsidR="00D22653">
        <w:rPr>
          <w:rFonts w:cs="Arial"/>
          <w:lang w:bidi="ar-SA"/>
        </w:rPr>
        <w:t xml:space="preserve">has concluded </w:t>
      </w:r>
      <w:r w:rsidR="00FC1A0E" w:rsidRPr="00FC1A0E">
        <w:rPr>
          <w:rFonts w:cs="Arial"/>
          <w:lang w:bidi="ar-SA"/>
        </w:rPr>
        <w:t xml:space="preserve">the existing ADI is too low and </w:t>
      </w:r>
      <w:r>
        <w:rPr>
          <w:rFonts w:cs="Arial"/>
          <w:lang w:val="en-AU" w:bidi="ar-SA"/>
        </w:rPr>
        <w:t xml:space="preserve">current </w:t>
      </w:r>
      <w:r w:rsidR="00FC1A0E" w:rsidRPr="00FC1A0E">
        <w:rPr>
          <w:rFonts w:cs="Arial"/>
          <w:lang w:val="en-AU" w:bidi="ar-SA"/>
        </w:rPr>
        <w:t xml:space="preserve">exposure levels </w:t>
      </w:r>
      <w:r w:rsidR="00FC1A0E" w:rsidRPr="00FC1A0E">
        <w:rPr>
          <w:rFonts w:cs="Arial"/>
          <w:lang w:bidi="ar-SA"/>
        </w:rPr>
        <w:t>are unlikely to pose a</w:t>
      </w:r>
      <w:r w:rsidR="00BA5310">
        <w:rPr>
          <w:rFonts w:cs="Arial"/>
          <w:lang w:bidi="ar-SA"/>
        </w:rPr>
        <w:t xml:space="preserve"> risk for </w:t>
      </w:r>
      <w:r w:rsidR="004C4F49">
        <w:rPr>
          <w:rFonts w:cs="Arial"/>
          <w:lang w:bidi="ar-SA"/>
        </w:rPr>
        <w:t>any</w:t>
      </w:r>
      <w:r w:rsidR="00BA5310">
        <w:rPr>
          <w:rFonts w:cs="Arial"/>
          <w:lang w:bidi="ar-SA"/>
        </w:rPr>
        <w:t xml:space="preserve"> population group</w:t>
      </w:r>
      <w:r w:rsidR="00FC1A0E" w:rsidRPr="00FC1A0E">
        <w:rPr>
          <w:rFonts w:cs="Arial"/>
          <w:lang w:bidi="ar-SA"/>
        </w:rPr>
        <w:t>.</w:t>
      </w:r>
    </w:p>
    <w:p w14:paraId="66E23C1D" w14:textId="24910FDD" w:rsidR="00EF507B" w:rsidRDefault="00EF507B" w:rsidP="007A79C3">
      <w:pPr>
        <w:widowControl/>
        <w:rPr>
          <w:rFonts w:cs="Arial"/>
          <w:lang w:bidi="ar-SA"/>
        </w:rPr>
      </w:pPr>
    </w:p>
    <w:p w14:paraId="41F30EF1" w14:textId="6548E311" w:rsidR="00EF507B" w:rsidRPr="007A79C3" w:rsidRDefault="00EF507B" w:rsidP="007A79C3">
      <w:pPr>
        <w:widowControl/>
        <w:rPr>
          <w:rFonts w:cs="Arial"/>
          <w:lang w:bidi="ar-SA"/>
        </w:rPr>
      </w:pPr>
      <w:r w:rsidRPr="00EF507B">
        <w:rPr>
          <w:rFonts w:cs="Arial"/>
          <w:lang w:bidi="ar-SA"/>
        </w:rPr>
        <w:t xml:space="preserve">FSANZ has concluded that robust evidence from a definitive study conducted to modern experimental standards would be necessary to derive a revised group ADI, but it is likely that a revised group ADI would be higher than the current group </w:t>
      </w:r>
      <w:r w:rsidRPr="00E14811">
        <w:rPr>
          <w:rFonts w:cs="Arial"/>
          <w:lang w:bidi="ar-SA"/>
        </w:rPr>
        <w:t>ADI</w:t>
      </w:r>
      <w:r w:rsidR="00E14811" w:rsidRPr="00E14811">
        <w:rPr>
          <w:rFonts w:cs="Arial"/>
          <w:lang w:bidi="ar-SA"/>
        </w:rPr>
        <w:t xml:space="preserve"> (A7.1 of SD1)</w:t>
      </w:r>
      <w:r w:rsidR="00E14811">
        <w:rPr>
          <w:rFonts w:cs="Arial"/>
          <w:lang w:bidi="ar-SA"/>
        </w:rPr>
        <w:t>.</w:t>
      </w:r>
    </w:p>
    <w:p w14:paraId="708C4315" w14:textId="6FE94CF1" w:rsidR="0095291D" w:rsidRPr="009974CE" w:rsidRDefault="0095291D" w:rsidP="000E1ED4">
      <w:pPr>
        <w:pStyle w:val="Heading3"/>
      </w:pPr>
      <w:bookmarkStart w:id="53" w:name="_Toc451340594"/>
      <w:r w:rsidRPr="009974CE">
        <w:t>2.</w:t>
      </w:r>
      <w:r w:rsidR="008B67A2">
        <w:t>1</w:t>
      </w:r>
      <w:r w:rsidRPr="009974CE">
        <w:t>.</w:t>
      </w:r>
      <w:r>
        <w:t>7</w:t>
      </w:r>
      <w:r w:rsidRPr="009974CE">
        <w:tab/>
      </w:r>
      <w:r>
        <w:t>EFSA Scientific Opin</w:t>
      </w:r>
      <w:r w:rsidR="00965E0E">
        <w:t>i</w:t>
      </w:r>
      <w:r>
        <w:t>on on Sulphites</w:t>
      </w:r>
      <w:bookmarkEnd w:id="53"/>
      <w:r w:rsidRPr="009974CE">
        <w:t xml:space="preserve"> </w:t>
      </w:r>
    </w:p>
    <w:p w14:paraId="6D153A80" w14:textId="77777777" w:rsidR="000E1ED4" w:rsidRPr="000E1ED4" w:rsidRDefault="000E1ED4" w:rsidP="000E1ED4">
      <w:pPr>
        <w:rPr>
          <w:bCs/>
          <w:lang w:val="en-NZ" w:bidi="ar-SA"/>
        </w:rPr>
      </w:pPr>
      <w:r w:rsidRPr="000E1ED4">
        <w:rPr>
          <w:lang w:bidi="ar-SA"/>
        </w:rPr>
        <w:t xml:space="preserve">In April 2016, the EFSA ANS Panel reviewing sulphites released its </w:t>
      </w:r>
      <w:r w:rsidRPr="000E1ED4">
        <w:rPr>
          <w:bCs/>
          <w:lang w:val="en-NZ" w:bidi="ar-SA"/>
        </w:rPr>
        <w:t>Scientific Opinion on the re-evaluation of sulphites. The Panel concluded that the current group ADI of 0.7 mg SO</w:t>
      </w:r>
      <w:r w:rsidRPr="000E1ED4">
        <w:rPr>
          <w:bCs/>
          <w:vertAlign w:val="subscript"/>
          <w:lang w:val="en-NZ" w:bidi="ar-SA"/>
        </w:rPr>
        <w:t>2</w:t>
      </w:r>
      <w:r w:rsidRPr="000E1ED4">
        <w:rPr>
          <w:bCs/>
          <w:lang w:val="en-NZ" w:bidi="ar-SA"/>
        </w:rPr>
        <w:t xml:space="preserve"> equivalent/kg </w:t>
      </w:r>
      <w:proofErr w:type="spellStart"/>
      <w:proofErr w:type="gramStart"/>
      <w:r w:rsidRPr="000E1ED4">
        <w:rPr>
          <w:bCs/>
          <w:lang w:val="en-NZ" w:bidi="ar-SA"/>
        </w:rPr>
        <w:t>bw</w:t>
      </w:r>
      <w:proofErr w:type="spellEnd"/>
      <w:proofErr w:type="gramEnd"/>
      <w:r w:rsidRPr="000E1ED4">
        <w:rPr>
          <w:bCs/>
          <w:lang w:val="en-NZ" w:bidi="ar-SA"/>
        </w:rPr>
        <w:t xml:space="preserve"> per day would remain adequate, but should be considered temporary while the database was improved. The EFSA ANS Panel further concluded that exposure estimates for European populations to sulphur dioxide and sulphites were higher than the group ADI of 0.7 mg SO</w:t>
      </w:r>
      <w:r w:rsidRPr="000E1ED4">
        <w:rPr>
          <w:bCs/>
          <w:vertAlign w:val="subscript"/>
          <w:lang w:val="en-NZ" w:bidi="ar-SA"/>
        </w:rPr>
        <w:t>2</w:t>
      </w:r>
      <w:r w:rsidRPr="000E1ED4">
        <w:rPr>
          <w:bCs/>
          <w:lang w:val="en-NZ" w:bidi="ar-SA"/>
        </w:rPr>
        <w:t xml:space="preserve"> equivalent/kg </w:t>
      </w:r>
      <w:proofErr w:type="spellStart"/>
      <w:proofErr w:type="gramStart"/>
      <w:r w:rsidRPr="000E1ED4">
        <w:rPr>
          <w:bCs/>
          <w:lang w:val="en-NZ" w:bidi="ar-SA"/>
        </w:rPr>
        <w:t>bw</w:t>
      </w:r>
      <w:proofErr w:type="spellEnd"/>
      <w:proofErr w:type="gramEnd"/>
      <w:r w:rsidRPr="000E1ED4">
        <w:rPr>
          <w:bCs/>
          <w:lang w:val="en-NZ" w:bidi="ar-SA"/>
        </w:rPr>
        <w:t xml:space="preserve"> per day for all population groups.</w:t>
      </w:r>
    </w:p>
    <w:p w14:paraId="62723AA2" w14:textId="77777777" w:rsidR="000E1ED4" w:rsidRPr="000E1ED4" w:rsidRDefault="000E1ED4" w:rsidP="000E1ED4">
      <w:pPr>
        <w:rPr>
          <w:bCs/>
          <w:lang w:val="en-NZ" w:bidi="ar-SA"/>
        </w:rPr>
      </w:pPr>
    </w:p>
    <w:p w14:paraId="6152BD0E" w14:textId="2E3E30AA" w:rsidR="000E1ED4" w:rsidRDefault="000E1ED4" w:rsidP="00F97F1C">
      <w:pPr>
        <w:rPr>
          <w:rFonts w:cs="Arial"/>
          <w:lang w:val="en-NZ" w:bidi="ar-SA"/>
        </w:rPr>
      </w:pPr>
      <w:r w:rsidRPr="000E1ED4">
        <w:rPr>
          <w:bCs/>
          <w:lang w:val="en-NZ" w:bidi="ar-SA"/>
        </w:rPr>
        <w:t xml:space="preserve">The EFSA ANS Panel made several recommendations including the need to update </w:t>
      </w:r>
      <w:r w:rsidR="00F97F1C" w:rsidRPr="000E1ED4">
        <w:rPr>
          <w:bCs/>
          <w:lang w:val="en-NZ" w:bidi="ar-SA"/>
        </w:rPr>
        <w:t>the</w:t>
      </w:r>
      <w:r w:rsidR="00F97F1C" w:rsidRPr="000E1ED4">
        <w:rPr>
          <w:rFonts w:cs="Arial"/>
          <w:lang w:val="en-NZ" w:bidi="ar-SA"/>
        </w:rPr>
        <w:t xml:space="preserve"> database</w:t>
      </w:r>
      <w:r w:rsidRPr="000E1ED4">
        <w:rPr>
          <w:rFonts w:cs="Arial"/>
          <w:lang w:val="en-NZ" w:bidi="ar-SA"/>
        </w:rPr>
        <w:t xml:space="preserve"> and </w:t>
      </w:r>
      <w:r w:rsidR="00F77CD8">
        <w:rPr>
          <w:rFonts w:cs="Arial"/>
          <w:lang w:val="en-NZ" w:bidi="ar-SA"/>
        </w:rPr>
        <w:t xml:space="preserve">to re-evaluate </w:t>
      </w:r>
      <w:r w:rsidRPr="000E1ED4">
        <w:rPr>
          <w:rFonts w:cs="Arial"/>
          <w:lang w:val="en-NZ" w:bidi="ar-SA"/>
        </w:rPr>
        <w:t xml:space="preserve">the temporary group ADI using more robust data, </w:t>
      </w:r>
      <w:r w:rsidR="00F77CD8">
        <w:rPr>
          <w:rFonts w:cs="Arial"/>
          <w:lang w:val="en-NZ" w:bidi="ar-SA"/>
        </w:rPr>
        <w:t xml:space="preserve">and to require </w:t>
      </w:r>
      <w:r w:rsidR="00EB0442">
        <w:rPr>
          <w:rFonts w:cs="Arial"/>
          <w:lang w:val="en-NZ" w:bidi="ar-SA"/>
        </w:rPr>
        <w:t xml:space="preserve">product </w:t>
      </w:r>
      <w:r w:rsidR="00F77CD8">
        <w:rPr>
          <w:rFonts w:cs="Arial"/>
          <w:lang w:val="en-NZ" w:bidi="ar-SA"/>
        </w:rPr>
        <w:t>labels to</w:t>
      </w:r>
      <w:r w:rsidRPr="000E1ED4">
        <w:rPr>
          <w:rFonts w:cs="Arial"/>
          <w:lang w:val="en-NZ" w:bidi="ar-SA"/>
        </w:rPr>
        <w:t xml:space="preserve"> provide information on the amount of SO</w:t>
      </w:r>
      <w:r w:rsidRPr="000E1ED4">
        <w:rPr>
          <w:rFonts w:cs="Arial"/>
          <w:vertAlign w:val="subscript"/>
          <w:lang w:val="en-NZ" w:bidi="ar-SA"/>
        </w:rPr>
        <w:t>2</w:t>
      </w:r>
      <w:r w:rsidRPr="000E1ED4">
        <w:rPr>
          <w:rFonts w:cs="Arial"/>
          <w:lang w:val="en-NZ" w:bidi="ar-SA"/>
        </w:rPr>
        <w:t xml:space="preserve"> equivalent present in solid foods and beverages</w:t>
      </w:r>
      <w:r w:rsidR="00F77CD8">
        <w:rPr>
          <w:rFonts w:cs="Arial"/>
          <w:lang w:val="en-NZ" w:bidi="ar-SA"/>
        </w:rPr>
        <w:t xml:space="preserve">. They </w:t>
      </w:r>
      <w:r w:rsidRPr="000E1ED4">
        <w:rPr>
          <w:rFonts w:cs="Arial"/>
          <w:lang w:val="en-NZ" w:bidi="ar-SA"/>
        </w:rPr>
        <w:t>noted that the recommended studies could require 5 years for completion.</w:t>
      </w:r>
    </w:p>
    <w:p w14:paraId="0C92D910" w14:textId="4FEE1648" w:rsidR="00ED4784" w:rsidRDefault="002444ED" w:rsidP="00E73212">
      <w:pPr>
        <w:pStyle w:val="Heading2"/>
      </w:pPr>
      <w:bookmarkStart w:id="54" w:name="_Toc327888563"/>
      <w:bookmarkStart w:id="55" w:name="_Toc451340595"/>
      <w:bookmarkStart w:id="56" w:name="_Toc300761897"/>
      <w:bookmarkStart w:id="57" w:name="_Toc300933440"/>
      <w:bookmarkStart w:id="58" w:name="_Toc300761910"/>
      <w:r>
        <w:t>2</w:t>
      </w:r>
      <w:r w:rsidR="00DF4680" w:rsidRPr="00DF4680">
        <w:t>.</w:t>
      </w:r>
      <w:r w:rsidR="008B67A2">
        <w:t>2</w:t>
      </w:r>
      <w:r w:rsidR="00DF4680" w:rsidRPr="00DF4680">
        <w:tab/>
        <w:t xml:space="preserve">Risk </w:t>
      </w:r>
      <w:r w:rsidR="00D22653">
        <w:t>m</w:t>
      </w:r>
      <w:r w:rsidR="00DF4680" w:rsidRPr="00DF4680">
        <w:t>anagement</w:t>
      </w:r>
      <w:bookmarkEnd w:id="54"/>
      <w:bookmarkEnd w:id="55"/>
      <w:r w:rsidR="00DF4680" w:rsidRPr="00DF4680">
        <w:t xml:space="preserve"> </w:t>
      </w:r>
    </w:p>
    <w:p w14:paraId="789DE30C" w14:textId="7BD9A750" w:rsidR="00162E88" w:rsidRPr="008B15AC" w:rsidRDefault="00162E88" w:rsidP="000E1ED4">
      <w:pPr>
        <w:pStyle w:val="Heading3"/>
      </w:pPr>
      <w:bookmarkStart w:id="59" w:name="_Toc365988809"/>
      <w:bookmarkStart w:id="60" w:name="_Toc451340596"/>
      <w:r w:rsidRPr="003969DE">
        <w:t>2.</w:t>
      </w:r>
      <w:r w:rsidR="008B67A2">
        <w:t>2</w:t>
      </w:r>
      <w:r w:rsidRPr="003969DE">
        <w:t>.1</w:t>
      </w:r>
      <w:r w:rsidRPr="003969DE">
        <w:tab/>
      </w:r>
      <w:r w:rsidR="00EC38DD" w:rsidRPr="003969DE">
        <w:t>General a</w:t>
      </w:r>
      <w:r w:rsidRPr="008B15AC">
        <w:t>pproach to risk management</w:t>
      </w:r>
      <w:bookmarkEnd w:id="59"/>
      <w:r w:rsidR="002C1DBE" w:rsidRPr="008B15AC">
        <w:t xml:space="preserve"> of food additives</w:t>
      </w:r>
      <w:bookmarkEnd w:id="60"/>
      <w:r w:rsidR="002C1DBE" w:rsidRPr="008B15AC">
        <w:t xml:space="preserve"> </w:t>
      </w:r>
    </w:p>
    <w:p w14:paraId="48B13C2E" w14:textId="77777777" w:rsidR="00E2099D" w:rsidRDefault="009E5E00" w:rsidP="009E5E00">
      <w:pPr>
        <w:rPr>
          <w:lang w:eastAsia="en-AU"/>
        </w:rPr>
      </w:pPr>
      <w:r w:rsidRPr="003969DE">
        <w:rPr>
          <w:lang w:eastAsia="en-AU"/>
        </w:rPr>
        <w:t xml:space="preserve">The FSANZ risk management approach for food additives follows that of </w:t>
      </w:r>
      <w:r w:rsidR="00111ED6">
        <w:rPr>
          <w:lang w:eastAsia="en-AU"/>
        </w:rPr>
        <w:t xml:space="preserve">the </w:t>
      </w:r>
      <w:r w:rsidRPr="003969DE">
        <w:rPr>
          <w:lang w:eastAsia="en-AU"/>
        </w:rPr>
        <w:t>Codex</w:t>
      </w:r>
      <w:r w:rsidR="00BB5C1E">
        <w:rPr>
          <w:lang w:eastAsia="en-AU"/>
        </w:rPr>
        <w:t xml:space="preserve"> GSFA</w:t>
      </w:r>
      <w:r w:rsidRPr="003969DE">
        <w:rPr>
          <w:lang w:eastAsia="en-AU"/>
        </w:rPr>
        <w:t>, where the preamble states</w:t>
      </w:r>
      <w:r w:rsidRPr="003969DE">
        <w:rPr>
          <w:rStyle w:val="FootnoteReference"/>
          <w:lang w:eastAsia="en-AU"/>
        </w:rPr>
        <w:footnoteReference w:id="8"/>
      </w:r>
      <w:r w:rsidR="00E2099D">
        <w:rPr>
          <w:lang w:eastAsia="en-AU"/>
        </w:rPr>
        <w:t>:</w:t>
      </w:r>
    </w:p>
    <w:p w14:paraId="5C1C31F4" w14:textId="383BF764" w:rsidR="009E5E00" w:rsidRPr="00BA5C92" w:rsidRDefault="009E5E00" w:rsidP="009E5E00">
      <w:pPr>
        <w:rPr>
          <w:lang w:eastAsia="en-AU"/>
        </w:rPr>
      </w:pPr>
    </w:p>
    <w:p w14:paraId="03B3B4A2" w14:textId="49CEA287" w:rsidR="009E5E00" w:rsidRPr="00E14811" w:rsidRDefault="00A602D4" w:rsidP="004932A8">
      <w:pPr>
        <w:pStyle w:val="FSBullet"/>
        <w:numPr>
          <w:ilvl w:val="0"/>
          <w:numId w:val="0"/>
        </w:numPr>
        <w:ind w:left="567"/>
        <w:rPr>
          <w:i/>
          <w:sz w:val="20"/>
          <w:lang w:eastAsia="en-AU"/>
        </w:rPr>
      </w:pPr>
      <w:r w:rsidRPr="00E14811">
        <w:rPr>
          <w:i/>
          <w:sz w:val="20"/>
          <w:lang w:eastAsia="en-AU"/>
        </w:rPr>
        <w:t>The</w:t>
      </w:r>
      <w:r w:rsidR="009E5E00" w:rsidRPr="00E14811">
        <w:rPr>
          <w:i/>
          <w:sz w:val="20"/>
          <w:lang w:eastAsia="en-AU"/>
        </w:rPr>
        <w:t xml:space="preserve"> primary objective of establishing maximum use levels for food additives in various food groups is to ensure that the intake of an additive from all i</w:t>
      </w:r>
      <w:r w:rsidR="007855A4" w:rsidRPr="00E14811">
        <w:rPr>
          <w:i/>
          <w:sz w:val="20"/>
          <w:lang w:eastAsia="en-AU"/>
        </w:rPr>
        <w:t xml:space="preserve">ts uses does not exceed </w:t>
      </w:r>
      <w:r w:rsidR="006B484E" w:rsidRPr="00E14811">
        <w:rPr>
          <w:i/>
          <w:sz w:val="20"/>
        </w:rPr>
        <w:t xml:space="preserve">the </w:t>
      </w:r>
      <w:r w:rsidRPr="00E14811">
        <w:rPr>
          <w:i/>
          <w:sz w:val="20"/>
        </w:rPr>
        <w:t>HBGV (the</w:t>
      </w:r>
      <w:r w:rsidR="00965E0E" w:rsidRPr="00E14811">
        <w:rPr>
          <w:i/>
          <w:sz w:val="20"/>
        </w:rPr>
        <w:t xml:space="preserve"> </w:t>
      </w:r>
      <w:r w:rsidR="006B484E" w:rsidRPr="00E14811">
        <w:rPr>
          <w:i/>
          <w:sz w:val="20"/>
        </w:rPr>
        <w:t>ADI)</w:t>
      </w:r>
      <w:r w:rsidR="006E7BCC" w:rsidRPr="00E14811">
        <w:rPr>
          <w:i/>
          <w:sz w:val="20"/>
        </w:rPr>
        <w:t>.</w:t>
      </w:r>
    </w:p>
    <w:p w14:paraId="6B24D64D" w14:textId="77777777" w:rsidR="009E5E00" w:rsidRPr="003969DE" w:rsidRDefault="009E5E00" w:rsidP="009E5E00">
      <w:pPr>
        <w:rPr>
          <w:i/>
          <w:lang w:eastAsia="en-AU"/>
        </w:rPr>
      </w:pPr>
    </w:p>
    <w:p w14:paraId="42A8BBB0" w14:textId="77777777" w:rsidR="006A3B2C" w:rsidRDefault="009E5E00" w:rsidP="009E5E00">
      <w:pPr>
        <w:rPr>
          <w:lang w:eastAsia="en-AU"/>
        </w:rPr>
      </w:pPr>
      <w:r w:rsidRPr="003969DE">
        <w:rPr>
          <w:lang w:eastAsia="en-AU"/>
        </w:rPr>
        <w:t>R</w:t>
      </w:r>
      <w:r w:rsidR="007855A4" w:rsidRPr="003969DE">
        <w:rPr>
          <w:lang w:eastAsia="en-AU"/>
        </w:rPr>
        <w:t xml:space="preserve">isk assessments </w:t>
      </w:r>
      <w:r w:rsidRPr="003969DE">
        <w:rPr>
          <w:lang w:eastAsia="en-AU"/>
        </w:rPr>
        <w:t>in Australia and New Zealand and internationally</w:t>
      </w:r>
      <w:r w:rsidR="007855A4" w:rsidRPr="003969DE">
        <w:rPr>
          <w:lang w:eastAsia="en-AU"/>
        </w:rPr>
        <w:t xml:space="preserve"> </w:t>
      </w:r>
      <w:r w:rsidRPr="003969DE">
        <w:rPr>
          <w:lang w:eastAsia="en-AU"/>
        </w:rPr>
        <w:t>are undertaken with the goal of assessing whether estimated exposure to a given chemical from the total diet exceeds the relevant reference health standard, in this case the ADI</w:t>
      </w:r>
      <w:r w:rsidR="00074D55">
        <w:rPr>
          <w:lang w:eastAsia="en-AU"/>
        </w:rPr>
        <w:t xml:space="preserve">. </w:t>
      </w:r>
      <w:r w:rsidRPr="003969DE">
        <w:rPr>
          <w:lang w:eastAsia="en-AU"/>
        </w:rPr>
        <w:t>The ADI, the amount that can be ingested on a daily basis over a lifetime without an appreciable health risk, has been established following international protocols</w:t>
      </w:r>
      <w:r w:rsidR="00074D55">
        <w:rPr>
          <w:lang w:eastAsia="en-AU"/>
        </w:rPr>
        <w:t>.</w:t>
      </w:r>
    </w:p>
    <w:p w14:paraId="7F3E3D02" w14:textId="47F41517" w:rsidR="009E5E00" w:rsidRPr="003969DE" w:rsidRDefault="009E5E00" w:rsidP="009E5E00">
      <w:pPr>
        <w:rPr>
          <w:lang w:eastAsia="en-AU"/>
        </w:rPr>
      </w:pPr>
      <w:r w:rsidRPr="003969DE">
        <w:rPr>
          <w:lang w:eastAsia="en-AU"/>
        </w:rPr>
        <w:lastRenderedPageBreak/>
        <w:t>Once the ADI is routinely exceeded it is no longer possible to be sure that there is no appreciable health risk.</w:t>
      </w:r>
    </w:p>
    <w:p w14:paraId="727AA4FE" w14:textId="67F49C20" w:rsidR="00EC38DD" w:rsidRPr="003969DE" w:rsidRDefault="00EC38DD" w:rsidP="000E1ED4">
      <w:pPr>
        <w:pStyle w:val="Heading3"/>
      </w:pPr>
      <w:bookmarkStart w:id="61" w:name="_Toc451340597"/>
      <w:r w:rsidRPr="003969DE">
        <w:t>2.</w:t>
      </w:r>
      <w:r w:rsidR="008B67A2">
        <w:t>2</w:t>
      </w:r>
      <w:r w:rsidRPr="003969DE">
        <w:t>.2</w:t>
      </w:r>
      <w:r w:rsidRPr="003969DE">
        <w:tab/>
      </w:r>
      <w:r w:rsidR="003969DE" w:rsidRPr="003969DE">
        <w:t>Risk management approach for</w:t>
      </w:r>
      <w:r w:rsidRPr="003969DE">
        <w:t xml:space="preserve"> benzoates</w:t>
      </w:r>
      <w:bookmarkEnd w:id="61"/>
      <w:r w:rsidRPr="003969DE">
        <w:t xml:space="preserve"> </w:t>
      </w:r>
    </w:p>
    <w:p w14:paraId="66189976" w14:textId="7688E70D" w:rsidR="00606E4C" w:rsidRDefault="00111ED6" w:rsidP="00606E4C">
      <w:pPr>
        <w:rPr>
          <w:lang w:eastAsia="en-AU" w:bidi="ar-SA"/>
        </w:rPr>
      </w:pPr>
      <w:r w:rsidRPr="00111ED6">
        <w:rPr>
          <w:lang w:eastAsia="en-AU" w:bidi="ar-SA"/>
        </w:rPr>
        <w:t xml:space="preserve">At the time </w:t>
      </w:r>
      <w:r w:rsidR="006E7BCC">
        <w:rPr>
          <w:lang w:eastAsia="en-AU" w:bidi="ar-SA"/>
        </w:rPr>
        <w:t>P298</w:t>
      </w:r>
      <w:r w:rsidRPr="00111ED6">
        <w:rPr>
          <w:lang w:eastAsia="en-AU" w:bidi="ar-SA"/>
        </w:rPr>
        <w:t xml:space="preserve"> was </w:t>
      </w:r>
      <w:r w:rsidR="00E2099D">
        <w:rPr>
          <w:lang w:eastAsia="en-AU" w:bidi="ar-SA"/>
        </w:rPr>
        <w:t>prepar</w:t>
      </w:r>
      <w:r w:rsidR="00E2099D" w:rsidRPr="00111ED6">
        <w:rPr>
          <w:lang w:eastAsia="en-AU" w:bidi="ar-SA"/>
        </w:rPr>
        <w:t xml:space="preserve">ed </w:t>
      </w:r>
      <w:r w:rsidRPr="00111ED6">
        <w:rPr>
          <w:lang w:eastAsia="en-AU" w:bidi="ar-SA"/>
        </w:rPr>
        <w:t xml:space="preserve">following the </w:t>
      </w:r>
      <w:r w:rsidR="00E2099D" w:rsidRPr="00E14811">
        <w:rPr>
          <w:lang w:eastAsia="en-AU" w:bidi="ar-SA"/>
        </w:rPr>
        <w:t>publication</w:t>
      </w:r>
      <w:r w:rsidR="00E2099D">
        <w:rPr>
          <w:lang w:eastAsia="en-AU" w:bidi="ar-SA"/>
        </w:rPr>
        <w:t xml:space="preserve"> of the </w:t>
      </w:r>
      <w:r w:rsidRPr="00111ED6">
        <w:rPr>
          <w:lang w:eastAsia="en-AU" w:bidi="ar-SA"/>
        </w:rPr>
        <w:t>21</w:t>
      </w:r>
      <w:r w:rsidRPr="00E14811">
        <w:rPr>
          <w:vertAlign w:val="superscript"/>
          <w:lang w:eastAsia="en-AU" w:bidi="ar-SA"/>
        </w:rPr>
        <w:t>st</w:t>
      </w:r>
      <w:r w:rsidR="00E2099D">
        <w:rPr>
          <w:lang w:eastAsia="en-AU" w:bidi="ar-SA"/>
        </w:rPr>
        <w:t xml:space="preserve"> </w:t>
      </w:r>
      <w:r w:rsidRPr="00111ED6">
        <w:rPr>
          <w:lang w:eastAsia="en-AU" w:bidi="ar-SA"/>
        </w:rPr>
        <w:t>ATDS,</w:t>
      </w:r>
      <w:r w:rsidR="00E14811">
        <w:rPr>
          <w:lang w:eastAsia="en-AU" w:bidi="ar-SA"/>
        </w:rPr>
        <w:t xml:space="preserve"> </w:t>
      </w:r>
      <w:r w:rsidRPr="00111ED6">
        <w:rPr>
          <w:lang w:eastAsia="en-AU" w:bidi="ar-SA"/>
        </w:rPr>
        <w:t>the estimated dietary exposure for benzoates did raise some concerns.</w:t>
      </w:r>
      <w:r>
        <w:rPr>
          <w:lang w:eastAsia="en-AU" w:bidi="ar-SA"/>
        </w:rPr>
        <w:t xml:space="preserve"> However, s</w:t>
      </w:r>
      <w:r w:rsidR="00606E4C" w:rsidRPr="003969DE">
        <w:rPr>
          <w:lang w:eastAsia="en-AU" w:bidi="ar-SA"/>
        </w:rPr>
        <w:t xml:space="preserve">ince the updated </w:t>
      </w:r>
      <w:r w:rsidR="00C07F06">
        <w:rPr>
          <w:lang w:eastAsia="en-AU" w:bidi="ar-SA"/>
        </w:rPr>
        <w:t>DEA</w:t>
      </w:r>
      <w:r w:rsidR="00606E4C" w:rsidRPr="003969DE">
        <w:rPr>
          <w:lang w:eastAsia="en-AU" w:bidi="ar-SA"/>
        </w:rPr>
        <w:t xml:space="preserve"> for benzoates for high consumers </w:t>
      </w:r>
      <w:r w:rsidR="00B571E5">
        <w:rPr>
          <w:lang w:eastAsia="en-AU" w:bidi="ar-SA"/>
        </w:rPr>
        <w:t>was</w:t>
      </w:r>
      <w:r w:rsidR="00B571E5" w:rsidRPr="003969DE">
        <w:rPr>
          <w:lang w:eastAsia="en-AU" w:bidi="ar-SA"/>
        </w:rPr>
        <w:t xml:space="preserve"> </w:t>
      </w:r>
      <w:r w:rsidR="00606E4C" w:rsidRPr="003969DE">
        <w:rPr>
          <w:lang w:eastAsia="en-AU" w:bidi="ar-SA"/>
        </w:rPr>
        <w:t xml:space="preserve">not above the ADI for any population group assessed in Australia and New Zealand, it </w:t>
      </w:r>
      <w:r>
        <w:rPr>
          <w:lang w:eastAsia="en-AU" w:bidi="ar-SA"/>
        </w:rPr>
        <w:t>was</w:t>
      </w:r>
      <w:r w:rsidRPr="003969DE">
        <w:rPr>
          <w:lang w:eastAsia="en-AU" w:bidi="ar-SA"/>
        </w:rPr>
        <w:t xml:space="preserve"> </w:t>
      </w:r>
      <w:r w:rsidR="00606E4C" w:rsidRPr="003969DE">
        <w:rPr>
          <w:lang w:eastAsia="en-AU" w:bidi="ar-SA"/>
        </w:rPr>
        <w:t xml:space="preserve">concluded that no additional risk management measures </w:t>
      </w:r>
      <w:r w:rsidR="00BA5310">
        <w:rPr>
          <w:lang w:eastAsia="en-AU" w:bidi="ar-SA"/>
        </w:rPr>
        <w:t>a</w:t>
      </w:r>
      <w:r w:rsidR="00606E4C" w:rsidRPr="003969DE">
        <w:rPr>
          <w:lang w:eastAsia="en-AU" w:bidi="ar-SA"/>
        </w:rPr>
        <w:t>re needed for benzoates</w:t>
      </w:r>
      <w:r w:rsidR="00DF26E3">
        <w:rPr>
          <w:lang w:eastAsia="en-AU" w:bidi="ar-SA"/>
        </w:rPr>
        <w:t>.</w:t>
      </w:r>
    </w:p>
    <w:p w14:paraId="7349BFCF" w14:textId="2E165F67" w:rsidR="00A408D3" w:rsidRPr="008B15AC" w:rsidRDefault="00A408D3" w:rsidP="000E1ED4">
      <w:pPr>
        <w:pStyle w:val="Heading3"/>
      </w:pPr>
      <w:bookmarkStart w:id="62" w:name="_Toc451340598"/>
      <w:r w:rsidRPr="008B15AC">
        <w:t>2.</w:t>
      </w:r>
      <w:r w:rsidR="008B67A2">
        <w:t>2</w:t>
      </w:r>
      <w:r w:rsidRPr="008B15AC">
        <w:t>.</w:t>
      </w:r>
      <w:r w:rsidR="00DB1A34">
        <w:t>3</w:t>
      </w:r>
      <w:r w:rsidRPr="008B15AC">
        <w:tab/>
      </w:r>
      <w:r w:rsidR="00BB5C1E">
        <w:t>R</w:t>
      </w:r>
      <w:r w:rsidRPr="008B15AC">
        <w:t xml:space="preserve">isk management </w:t>
      </w:r>
      <w:r w:rsidR="00BB5C1E">
        <w:t>considerations</w:t>
      </w:r>
      <w:r w:rsidR="00BB5C1E" w:rsidRPr="008B15AC">
        <w:t xml:space="preserve"> </w:t>
      </w:r>
      <w:r w:rsidR="008B15AC" w:rsidRPr="008B15AC">
        <w:t>for sulphites</w:t>
      </w:r>
      <w:bookmarkEnd w:id="62"/>
    </w:p>
    <w:p w14:paraId="0768E338" w14:textId="069B750E" w:rsidR="00C83E8E" w:rsidRDefault="00D22653" w:rsidP="00C83E8E">
      <w:pPr>
        <w:rPr>
          <w:lang w:bidi="ar-SA"/>
        </w:rPr>
      </w:pPr>
      <w:r>
        <w:rPr>
          <w:szCs w:val="22"/>
          <w:lang w:val="en-AU"/>
        </w:rPr>
        <w:t xml:space="preserve">Before finalising </w:t>
      </w:r>
      <w:r w:rsidR="00686B1E">
        <w:rPr>
          <w:szCs w:val="22"/>
          <w:lang w:val="en-AU"/>
        </w:rPr>
        <w:t xml:space="preserve">the </w:t>
      </w:r>
      <w:r w:rsidR="00D0580C">
        <w:rPr>
          <w:szCs w:val="22"/>
          <w:lang w:val="en-AU"/>
        </w:rPr>
        <w:t>7-day dose range finding study</w:t>
      </w:r>
      <w:r w:rsidR="00686B1E">
        <w:rPr>
          <w:szCs w:val="22"/>
          <w:lang w:val="en-AU"/>
        </w:rPr>
        <w:t xml:space="preserve">, FSANZ was of the view </w:t>
      </w:r>
      <w:r w:rsidR="00111ED6">
        <w:rPr>
          <w:szCs w:val="22"/>
          <w:lang w:val="en-AU"/>
        </w:rPr>
        <w:t xml:space="preserve">that </w:t>
      </w:r>
      <w:r w:rsidR="00686B1E">
        <w:rPr>
          <w:szCs w:val="22"/>
          <w:lang w:val="en-AU"/>
        </w:rPr>
        <w:t xml:space="preserve">risk management measures were needed to reduce </w:t>
      </w:r>
      <w:r w:rsidR="00625E86">
        <w:rPr>
          <w:szCs w:val="22"/>
          <w:lang w:val="en-AU"/>
        </w:rPr>
        <w:t>children’s</w:t>
      </w:r>
      <w:r w:rsidR="00686B1E">
        <w:rPr>
          <w:szCs w:val="22"/>
          <w:lang w:val="en-AU"/>
        </w:rPr>
        <w:t xml:space="preserve"> exposure to sulphites</w:t>
      </w:r>
      <w:r w:rsidR="00074D55">
        <w:rPr>
          <w:szCs w:val="22"/>
          <w:lang w:val="en-AU"/>
        </w:rPr>
        <w:t xml:space="preserve">. </w:t>
      </w:r>
      <w:r w:rsidR="00686B1E">
        <w:rPr>
          <w:szCs w:val="22"/>
          <w:lang w:val="en-AU"/>
        </w:rPr>
        <w:t>A variety of measures were evaluated</w:t>
      </w:r>
      <w:r w:rsidR="00B12082">
        <w:rPr>
          <w:szCs w:val="22"/>
          <w:lang w:val="en-AU"/>
        </w:rPr>
        <w:t xml:space="preserve"> to reduce</w:t>
      </w:r>
      <w:r w:rsidR="00686B1E">
        <w:rPr>
          <w:szCs w:val="22"/>
          <w:lang w:val="en-AU"/>
        </w:rPr>
        <w:t xml:space="preserve"> the MPL at point of retail sale</w:t>
      </w:r>
      <w:r w:rsidR="00B12082">
        <w:rPr>
          <w:szCs w:val="22"/>
          <w:lang w:val="en-AU"/>
        </w:rPr>
        <w:t xml:space="preserve"> </w:t>
      </w:r>
      <w:r w:rsidR="00686B1E">
        <w:rPr>
          <w:szCs w:val="22"/>
          <w:lang w:val="en-AU"/>
        </w:rPr>
        <w:t>for sausages and dried fruit</w:t>
      </w:r>
      <w:r w:rsidR="00B12082">
        <w:rPr>
          <w:szCs w:val="22"/>
          <w:lang w:val="en-AU"/>
        </w:rPr>
        <w:t xml:space="preserve"> </w:t>
      </w:r>
      <w:r w:rsidR="00686B1E">
        <w:rPr>
          <w:szCs w:val="22"/>
          <w:lang w:val="en-AU"/>
        </w:rPr>
        <w:t xml:space="preserve">including education and industry </w:t>
      </w:r>
      <w:r w:rsidR="00EE23BE">
        <w:rPr>
          <w:szCs w:val="22"/>
          <w:lang w:val="en-AU"/>
        </w:rPr>
        <w:t>voluntary measures</w:t>
      </w:r>
      <w:r w:rsidR="00074D55">
        <w:rPr>
          <w:szCs w:val="22"/>
          <w:lang w:val="en-AU"/>
        </w:rPr>
        <w:t xml:space="preserve">. </w:t>
      </w:r>
      <w:r w:rsidR="00EE23BE">
        <w:rPr>
          <w:szCs w:val="22"/>
          <w:lang w:val="en-AU"/>
        </w:rPr>
        <w:t xml:space="preserve">However, in view of </w:t>
      </w:r>
      <w:r w:rsidR="00111ED6">
        <w:rPr>
          <w:szCs w:val="22"/>
          <w:lang w:val="en-AU"/>
        </w:rPr>
        <w:t xml:space="preserve">the </w:t>
      </w:r>
      <w:r w:rsidR="00E375FD">
        <w:rPr>
          <w:szCs w:val="22"/>
          <w:lang w:val="en-AU"/>
        </w:rPr>
        <w:t xml:space="preserve">updated </w:t>
      </w:r>
      <w:r w:rsidR="00EE23BE">
        <w:rPr>
          <w:szCs w:val="22"/>
          <w:lang w:val="en-AU"/>
        </w:rPr>
        <w:t>risk characterisation</w:t>
      </w:r>
      <w:r w:rsidR="00F97F1C">
        <w:rPr>
          <w:szCs w:val="22"/>
          <w:lang w:val="en-AU"/>
        </w:rPr>
        <w:t>,</w:t>
      </w:r>
      <w:r w:rsidR="00F97F1C" w:rsidRPr="004C4F49">
        <w:rPr>
          <w:rFonts w:cs="Arial"/>
          <w:lang w:bidi="ar-SA"/>
        </w:rPr>
        <w:t xml:space="preserve"> </w:t>
      </w:r>
      <w:r w:rsidR="00F97F1C">
        <w:rPr>
          <w:szCs w:val="22"/>
          <w:lang w:val="en-AU"/>
        </w:rPr>
        <w:t>the</w:t>
      </w:r>
      <w:r w:rsidR="00C83E8E">
        <w:rPr>
          <w:lang w:bidi="ar-SA"/>
        </w:rPr>
        <w:t xml:space="preserve"> current risk management considerations are:</w:t>
      </w:r>
    </w:p>
    <w:p w14:paraId="5DE1927D" w14:textId="77777777" w:rsidR="00C83E8E" w:rsidRDefault="00C83E8E" w:rsidP="00C83E8E">
      <w:pPr>
        <w:rPr>
          <w:lang w:bidi="ar-SA"/>
        </w:rPr>
      </w:pPr>
    </w:p>
    <w:p w14:paraId="31BDB9A0" w14:textId="0E12F043" w:rsidR="00C83E8E" w:rsidRPr="00446166" w:rsidRDefault="00C83E8E" w:rsidP="00C83E8E">
      <w:pPr>
        <w:numPr>
          <w:ilvl w:val="0"/>
          <w:numId w:val="10"/>
        </w:numPr>
        <w:rPr>
          <w:lang w:val="en-AU"/>
        </w:rPr>
      </w:pPr>
      <w:r>
        <w:t xml:space="preserve">The risk assessment, based on the best scientific evidence currently available, is that there is a negligible </w:t>
      </w:r>
      <w:r w:rsidRPr="00446166">
        <w:rPr>
          <w:lang w:val="en-AU"/>
        </w:rPr>
        <w:t xml:space="preserve">likelihood of health and safety </w:t>
      </w:r>
      <w:r>
        <w:rPr>
          <w:lang w:val="en-AU"/>
        </w:rPr>
        <w:t>risks</w:t>
      </w:r>
      <w:r w:rsidRPr="00446166">
        <w:rPr>
          <w:lang w:val="en-AU"/>
        </w:rPr>
        <w:t xml:space="preserve"> for the Australian and New Zealand populations</w:t>
      </w:r>
      <w:r>
        <w:rPr>
          <w:lang w:val="en-AU"/>
        </w:rPr>
        <w:t>, including children,</w:t>
      </w:r>
      <w:r w:rsidRPr="00446166">
        <w:rPr>
          <w:lang w:val="en-AU"/>
        </w:rPr>
        <w:t xml:space="preserve"> arising from the consumption of foods containing sulphites and benzoates. </w:t>
      </w:r>
      <w:r>
        <w:rPr>
          <w:lang w:val="en-AU"/>
        </w:rPr>
        <w:t>See SD1.</w:t>
      </w:r>
    </w:p>
    <w:p w14:paraId="5686FE66" w14:textId="77777777" w:rsidR="00C83E8E" w:rsidRPr="00E2099D" w:rsidRDefault="00C83E8E" w:rsidP="00C83E8E">
      <w:pPr>
        <w:rPr>
          <w:lang w:val="en-AU" w:bidi="ar-SA"/>
        </w:rPr>
      </w:pPr>
    </w:p>
    <w:p w14:paraId="13DA6FA4" w14:textId="3A913592" w:rsidR="00C83E8E" w:rsidRDefault="00C83E8E" w:rsidP="00C83E8E">
      <w:pPr>
        <w:pStyle w:val="FSBullet1"/>
        <w:ind w:left="567" w:hanging="567"/>
        <w:rPr>
          <w:lang w:val="en-AU"/>
        </w:rPr>
      </w:pPr>
      <w:r>
        <w:rPr>
          <w:lang w:val="en-AU"/>
        </w:rPr>
        <w:t>Updated</w:t>
      </w:r>
      <w:r w:rsidRPr="00253B01">
        <w:rPr>
          <w:lang w:val="en-AU"/>
        </w:rPr>
        <w:t xml:space="preserve"> DEA information regarding </w:t>
      </w:r>
      <w:r>
        <w:rPr>
          <w:lang w:val="en-AU"/>
        </w:rPr>
        <w:t xml:space="preserve">a reduction in </w:t>
      </w:r>
      <w:r w:rsidRPr="00253B01">
        <w:rPr>
          <w:lang w:val="en-AU"/>
        </w:rPr>
        <w:t>children’s exposure to sulphites</w:t>
      </w:r>
      <w:r>
        <w:rPr>
          <w:lang w:val="en-AU"/>
        </w:rPr>
        <w:t xml:space="preserve"> </w:t>
      </w:r>
      <w:r w:rsidRPr="00253B01">
        <w:rPr>
          <w:lang w:val="en-AU"/>
        </w:rPr>
        <w:t>since 2003</w:t>
      </w:r>
      <w:r>
        <w:rPr>
          <w:lang w:val="en-AU"/>
        </w:rPr>
        <w:t>.</w:t>
      </w:r>
    </w:p>
    <w:p w14:paraId="3DF99F39" w14:textId="77777777" w:rsidR="00C83E8E" w:rsidRPr="00E2099D" w:rsidRDefault="00C83E8E" w:rsidP="00C83E8E">
      <w:pPr>
        <w:rPr>
          <w:lang w:val="en-AU" w:bidi="ar-SA"/>
        </w:rPr>
      </w:pPr>
    </w:p>
    <w:p w14:paraId="2C5E33D6" w14:textId="13B99628" w:rsidR="00C83E8E" w:rsidRDefault="00C83E8E" w:rsidP="00C83E8E">
      <w:pPr>
        <w:pStyle w:val="FSBullet1"/>
        <w:ind w:left="567" w:hanging="567"/>
      </w:pPr>
      <w:r>
        <w:t>While</w:t>
      </w:r>
      <w:r w:rsidRPr="00253B01">
        <w:t xml:space="preserve"> there is some evidence that some sectors of the sausage industry </w:t>
      </w:r>
      <w:r>
        <w:t>(</w:t>
      </w:r>
      <w:r w:rsidR="00DE5D31">
        <w:t>e.g.</w:t>
      </w:r>
      <w:r>
        <w:t xml:space="preserve"> smaller manufactures such as butchers) </w:t>
      </w:r>
      <w:r w:rsidRPr="00253B01">
        <w:t xml:space="preserve">could use lower levels of sulphites to achieve their technological function, </w:t>
      </w:r>
      <w:r>
        <w:t>amendment of the Code (e.g. change to MPL</w:t>
      </w:r>
      <w:r w:rsidRPr="00253B01">
        <w:t xml:space="preserve">) </w:t>
      </w:r>
      <w:r>
        <w:t>is not considered to be cost effective as compared to targeted communication and education to improve the adherence to GMP.</w:t>
      </w:r>
      <w:r>
        <w:br/>
      </w:r>
    </w:p>
    <w:p w14:paraId="34F76253" w14:textId="77777777" w:rsidR="00C83E8E" w:rsidRDefault="00C83E8E" w:rsidP="00C83E8E">
      <w:pPr>
        <w:pStyle w:val="FSBullet1"/>
        <w:ind w:left="567" w:hanging="567"/>
        <w:rPr>
          <w:bCs/>
          <w:lang w:val="en-NZ"/>
        </w:rPr>
      </w:pPr>
      <w:r>
        <w:t xml:space="preserve">The </w:t>
      </w:r>
      <w:r w:rsidRPr="001820FB">
        <w:rPr>
          <w:lang w:val="en-AU"/>
        </w:rPr>
        <w:t>recent release of the EFSA</w:t>
      </w:r>
      <w:r w:rsidRPr="001820FB">
        <w:rPr>
          <w:bCs/>
          <w:lang w:val="en-NZ"/>
        </w:rPr>
        <w:t xml:space="preserve"> Scientific Opinion on the re-evaluation of sulphites and potential future activities in Europe will permit a re-evaluation of this issue in around five years</w:t>
      </w:r>
      <w:r>
        <w:rPr>
          <w:bCs/>
          <w:lang w:val="en-NZ"/>
        </w:rPr>
        <w:t>.</w:t>
      </w:r>
    </w:p>
    <w:p w14:paraId="593945B2" w14:textId="77777777" w:rsidR="00C95D29" w:rsidRDefault="00C95D29" w:rsidP="00C95D29">
      <w:pPr>
        <w:rPr>
          <w:lang w:val="en-NZ" w:bidi="ar-SA"/>
        </w:rPr>
      </w:pPr>
    </w:p>
    <w:p w14:paraId="12948348" w14:textId="2BB9CBAF" w:rsidR="00C95D29" w:rsidRPr="00C95D29" w:rsidRDefault="00F97F1C" w:rsidP="00C95D29">
      <w:pPr>
        <w:rPr>
          <w:lang w:val="en-NZ" w:bidi="ar-SA"/>
        </w:rPr>
      </w:pPr>
      <w:r>
        <w:rPr>
          <w:szCs w:val="22"/>
          <w:lang w:val="en-AU"/>
        </w:rPr>
        <w:t>I</w:t>
      </w:r>
      <w:r w:rsidR="00C95D29">
        <w:rPr>
          <w:szCs w:val="22"/>
          <w:lang w:val="en-AU"/>
        </w:rPr>
        <w:t>n view of these considerations</w:t>
      </w:r>
      <w:r w:rsidR="006A3B2C">
        <w:rPr>
          <w:szCs w:val="22"/>
          <w:lang w:val="en-AU"/>
        </w:rPr>
        <w:t>,</w:t>
      </w:r>
      <w:r w:rsidR="00C95D29">
        <w:rPr>
          <w:szCs w:val="22"/>
          <w:lang w:val="en-AU"/>
        </w:rPr>
        <w:t xml:space="preserve"> </w:t>
      </w:r>
      <w:r w:rsidR="00C95D29" w:rsidRPr="004C4F49">
        <w:rPr>
          <w:szCs w:val="22"/>
        </w:rPr>
        <w:t xml:space="preserve">FSANZ is of the opinion that </w:t>
      </w:r>
      <w:r w:rsidR="00C95D29">
        <w:rPr>
          <w:szCs w:val="22"/>
        </w:rPr>
        <w:t>an amendment of current risk management</w:t>
      </w:r>
      <w:r w:rsidR="00C95D29">
        <w:rPr>
          <w:szCs w:val="22"/>
          <w:lang w:val="en-AU"/>
        </w:rPr>
        <w:t xml:space="preserve"> measures (i.e</w:t>
      </w:r>
      <w:r>
        <w:rPr>
          <w:szCs w:val="22"/>
          <w:lang w:val="en-AU"/>
        </w:rPr>
        <w:t>.</w:t>
      </w:r>
      <w:r w:rsidR="00C95D29">
        <w:rPr>
          <w:szCs w:val="22"/>
          <w:lang w:val="en-AU"/>
        </w:rPr>
        <w:t xml:space="preserve"> amending MPLs and requiring sulphites to be used at levels which are consistent with GMP) is no longer considered necessary</w:t>
      </w:r>
      <w:r w:rsidR="006A3B2C">
        <w:rPr>
          <w:szCs w:val="22"/>
          <w:lang w:val="en-AU"/>
        </w:rPr>
        <w:t xml:space="preserve"> at this point in time</w:t>
      </w:r>
      <w:r w:rsidR="00C95D29">
        <w:rPr>
          <w:szCs w:val="22"/>
          <w:lang w:val="en-AU"/>
        </w:rPr>
        <w:t>.</w:t>
      </w:r>
    </w:p>
    <w:p w14:paraId="3AF09C15" w14:textId="2B56BBD9" w:rsidR="00A74885" w:rsidRPr="00A74885" w:rsidRDefault="00A74885" w:rsidP="00A74885">
      <w:pPr>
        <w:pStyle w:val="Heading3"/>
      </w:pPr>
      <w:bookmarkStart w:id="63" w:name="_Toc451340599"/>
      <w:r w:rsidRPr="003969DE">
        <w:t>2</w:t>
      </w:r>
      <w:r>
        <w:t>.</w:t>
      </w:r>
      <w:r w:rsidR="008B67A2">
        <w:t>2</w:t>
      </w:r>
      <w:r>
        <w:t>.4</w:t>
      </w:r>
      <w:r w:rsidRPr="003969DE">
        <w:tab/>
      </w:r>
      <w:r w:rsidRPr="00A74885">
        <w:t>Summary of issues raised in submissions</w:t>
      </w:r>
      <w:bookmarkEnd w:id="63"/>
    </w:p>
    <w:p w14:paraId="3BA0A27A" w14:textId="77777777" w:rsidR="00A74885" w:rsidRDefault="00A74885" w:rsidP="00A74885">
      <w:r w:rsidRPr="001C7577">
        <w:t>On</w:t>
      </w:r>
      <w:r>
        <w:t xml:space="preserve"> 3 August 2005</w:t>
      </w:r>
      <w:r w:rsidRPr="001C7577">
        <w:t xml:space="preserve">, FSANZ </w:t>
      </w:r>
      <w:r>
        <w:t xml:space="preserve">sought submissions on an Initial Assessment Report. </w:t>
      </w:r>
      <w:r w:rsidRPr="007F7C5A">
        <w:t>The Initial Assessment Report asked a number of questions relating to:</w:t>
      </w:r>
    </w:p>
    <w:p w14:paraId="1C85FBCA" w14:textId="77777777" w:rsidR="00A74885" w:rsidRDefault="00A74885" w:rsidP="00A74885"/>
    <w:p w14:paraId="5B192336" w14:textId="77777777" w:rsidR="00A74885" w:rsidRPr="007F7C5A" w:rsidRDefault="00A74885" w:rsidP="00A74885">
      <w:pPr>
        <w:pStyle w:val="FSBullet1"/>
      </w:pPr>
      <w:r w:rsidRPr="007F7C5A">
        <w:t>dietary exposure</w:t>
      </w:r>
    </w:p>
    <w:p w14:paraId="6E68BC9C" w14:textId="77777777" w:rsidR="00A74885" w:rsidRPr="007F7C5A" w:rsidRDefault="00A74885" w:rsidP="00A74885">
      <w:pPr>
        <w:pStyle w:val="FSBullet1"/>
      </w:pPr>
      <w:r w:rsidRPr="007F7C5A">
        <w:t>food products using benzoates and sulphites</w:t>
      </w:r>
    </w:p>
    <w:p w14:paraId="43189F63" w14:textId="77777777" w:rsidR="00A74885" w:rsidRPr="007F7C5A" w:rsidRDefault="00A74885" w:rsidP="00A74885">
      <w:pPr>
        <w:pStyle w:val="FSBullet1"/>
      </w:pPr>
      <w:r w:rsidRPr="007F7C5A">
        <w:t>technologically required levels of benzoates and sulphites</w:t>
      </w:r>
    </w:p>
    <w:p w14:paraId="22A77667" w14:textId="77777777" w:rsidR="00A74885" w:rsidRPr="007F7C5A" w:rsidRDefault="00A74885" w:rsidP="00A74885">
      <w:pPr>
        <w:pStyle w:val="FSBullet1"/>
      </w:pPr>
      <w:proofErr w:type="gramStart"/>
      <w:r w:rsidRPr="007F7C5A">
        <w:t>alternatives</w:t>
      </w:r>
      <w:proofErr w:type="gramEnd"/>
      <w:r w:rsidRPr="007F7C5A">
        <w:t xml:space="preserve"> to benzoates and sulphites</w:t>
      </w:r>
      <w:r>
        <w:t>.</w:t>
      </w:r>
    </w:p>
    <w:p w14:paraId="0D76144E" w14:textId="77777777" w:rsidR="00A74885" w:rsidRDefault="00A74885" w:rsidP="00A74885"/>
    <w:p w14:paraId="05F5A15F" w14:textId="7A08CAE4" w:rsidR="00A74885" w:rsidRPr="007F7C5A" w:rsidRDefault="00A74885" w:rsidP="00A74885">
      <w:r w:rsidRPr="007F7C5A">
        <w:t>In total</w:t>
      </w:r>
      <w:r w:rsidR="006A3B2C">
        <w:t>,</w:t>
      </w:r>
      <w:r w:rsidRPr="007F7C5A">
        <w:t xml:space="preserve"> 24 submissions were received: 17 from the food industry, four from regulators, two from interested associations and one private.</w:t>
      </w:r>
    </w:p>
    <w:p w14:paraId="3B3C735B" w14:textId="77777777" w:rsidR="00A74885" w:rsidRDefault="00A74885" w:rsidP="00A74885"/>
    <w:p w14:paraId="503735F4" w14:textId="77777777" w:rsidR="006A3B2C" w:rsidRPr="007F7C5A" w:rsidRDefault="006A3B2C" w:rsidP="00A74885"/>
    <w:p w14:paraId="19224C98" w14:textId="64ADF383" w:rsidR="00A74885" w:rsidRDefault="00A74885" w:rsidP="00A74885">
      <w:r w:rsidRPr="007F7C5A">
        <w:lastRenderedPageBreak/>
        <w:t xml:space="preserve">Some of the submissions contained detailed information relating to the questions in the </w:t>
      </w:r>
      <w:r>
        <w:t>IAR</w:t>
      </w:r>
      <w:r w:rsidRPr="007F7C5A">
        <w:t xml:space="preserve"> and supporting </w:t>
      </w:r>
      <w:r>
        <w:t xml:space="preserve">possible risk management </w:t>
      </w:r>
      <w:r w:rsidRPr="007F7C5A">
        <w:t>options.</w:t>
      </w:r>
      <w:r>
        <w:t xml:space="preserve"> In particular, information was provided on current use levels, the availability of alternative technologies</w:t>
      </w:r>
      <w:r w:rsidR="00C95D29">
        <w:t>,</w:t>
      </w:r>
      <w:r>
        <w:t xml:space="preserve"> the necessity of using sulphites as a preservative for particular food types and costing information. Although these submissions were relevant to FSANZ consideration </w:t>
      </w:r>
      <w:r w:rsidR="00C95D29">
        <w:t xml:space="preserve">at the time </w:t>
      </w:r>
      <w:r>
        <w:t xml:space="preserve">of which foods could be identified where lower levels of these preservatives were technologically feasible and cost effective to reduce consumer exposure, they are no longer relevant since FSANZ no longer considers it necessary to amend the current risk management measure. </w:t>
      </w:r>
    </w:p>
    <w:p w14:paraId="0C2134C3" w14:textId="39714DF9" w:rsidR="002074F7" w:rsidRDefault="005F499A" w:rsidP="000E1ED4">
      <w:pPr>
        <w:pStyle w:val="Heading3"/>
      </w:pPr>
      <w:bookmarkStart w:id="64" w:name="_Toc451340600"/>
      <w:r>
        <w:t>2.</w:t>
      </w:r>
      <w:r w:rsidR="008B67A2">
        <w:t>2</w:t>
      </w:r>
      <w:r w:rsidR="00A74885">
        <w:t>.5</w:t>
      </w:r>
      <w:r>
        <w:tab/>
      </w:r>
      <w:r w:rsidR="00C82DD6" w:rsidRPr="00C82DD6">
        <w:t>Decision</w:t>
      </w:r>
      <w:bookmarkEnd w:id="64"/>
    </w:p>
    <w:p w14:paraId="527E0C62" w14:textId="007256FC" w:rsidR="00C82DD6" w:rsidRPr="00C82DD6" w:rsidRDefault="00C83E8E" w:rsidP="00C82DD6">
      <w:pPr>
        <w:rPr>
          <w:lang w:eastAsia="en-AU" w:bidi="ar-SA"/>
        </w:rPr>
      </w:pPr>
      <w:r>
        <w:rPr>
          <w:lang w:eastAsia="en-AU" w:bidi="ar-SA"/>
        </w:rPr>
        <w:t xml:space="preserve">After having </w:t>
      </w:r>
      <w:proofErr w:type="gramStart"/>
      <w:r>
        <w:rPr>
          <w:lang w:eastAsia="en-AU" w:bidi="ar-SA"/>
        </w:rPr>
        <w:t>regard</w:t>
      </w:r>
      <w:proofErr w:type="gramEnd"/>
      <w:r>
        <w:rPr>
          <w:lang w:eastAsia="en-AU" w:bidi="ar-SA"/>
        </w:rPr>
        <w:t xml:space="preserve"> to </w:t>
      </w:r>
      <w:r w:rsidR="00DE5D31">
        <w:rPr>
          <w:lang w:eastAsia="en-AU" w:bidi="ar-SA"/>
        </w:rPr>
        <w:t xml:space="preserve">the risk management considerations </w:t>
      </w:r>
      <w:r>
        <w:rPr>
          <w:lang w:eastAsia="en-AU" w:bidi="ar-SA"/>
        </w:rPr>
        <w:t xml:space="preserve">above and to the statutory requirements outlined below, </w:t>
      </w:r>
      <w:r w:rsidR="00346E2B">
        <w:rPr>
          <w:lang w:eastAsia="en-AU" w:bidi="ar-SA"/>
        </w:rPr>
        <w:t>FSANZ decided to abandon P29</w:t>
      </w:r>
      <w:r>
        <w:rPr>
          <w:lang w:eastAsia="en-AU" w:bidi="ar-SA"/>
        </w:rPr>
        <w:t>8.</w:t>
      </w:r>
      <w:r w:rsidR="008811FA">
        <w:rPr>
          <w:lang w:eastAsia="en-AU" w:bidi="ar-SA"/>
        </w:rPr>
        <w:t xml:space="preserve"> The reasons for the decision are as outlined above in section 2.2.3 i.e.</w:t>
      </w:r>
      <w:r w:rsidR="008811FA" w:rsidRPr="008811FA">
        <w:t xml:space="preserve"> </w:t>
      </w:r>
      <w:r w:rsidR="008811FA">
        <w:t>FSANZ now consider</w:t>
      </w:r>
      <w:r w:rsidR="00DE5D31">
        <w:t>s</w:t>
      </w:r>
      <w:r w:rsidR="008811FA">
        <w:t xml:space="preserve"> the </w:t>
      </w:r>
      <w:r w:rsidR="008811FA" w:rsidRPr="008811FA">
        <w:rPr>
          <w:lang w:val="en-AU" w:eastAsia="en-AU" w:bidi="ar-SA"/>
        </w:rPr>
        <w:t>likelihood of health and safety risks arising from the consumption of foods containing sulphites and benzoates</w:t>
      </w:r>
      <w:r w:rsidR="008811FA" w:rsidRPr="008811FA">
        <w:rPr>
          <w:lang w:eastAsia="en-AU" w:bidi="ar-SA"/>
        </w:rPr>
        <w:t xml:space="preserve"> negligible</w:t>
      </w:r>
      <w:r w:rsidR="008811FA">
        <w:rPr>
          <w:lang w:eastAsia="en-AU" w:bidi="ar-SA"/>
        </w:rPr>
        <w:t xml:space="preserve">, taking into account </w:t>
      </w:r>
      <w:r w:rsidR="00DE5D31">
        <w:rPr>
          <w:lang w:eastAsia="en-AU" w:bidi="ar-SA"/>
        </w:rPr>
        <w:t xml:space="preserve">the new evidence from the evaluation </w:t>
      </w:r>
      <w:r w:rsidR="005D4053">
        <w:rPr>
          <w:lang w:eastAsia="en-AU" w:bidi="ar-SA"/>
        </w:rPr>
        <w:t>of various</w:t>
      </w:r>
      <w:r w:rsidR="00DE5D31">
        <w:rPr>
          <w:lang w:eastAsia="en-AU" w:bidi="ar-SA"/>
        </w:rPr>
        <w:t xml:space="preserve"> animal studies on sulphites, including a dose-range finding study commissioned by FSANZ and the </w:t>
      </w:r>
      <w:r w:rsidR="008811FA">
        <w:rPr>
          <w:lang w:eastAsia="en-AU" w:bidi="ar-SA"/>
        </w:rPr>
        <w:t>updated DEA.</w:t>
      </w:r>
    </w:p>
    <w:p w14:paraId="6BEBBC6C" w14:textId="4AC910A3" w:rsidR="00ED29B8" w:rsidRDefault="00ED29B8" w:rsidP="008811FA">
      <w:pPr>
        <w:pStyle w:val="Heading2"/>
      </w:pPr>
      <w:bookmarkStart w:id="65" w:name="_Toc451340601"/>
      <w:r>
        <w:t>2.</w:t>
      </w:r>
      <w:r w:rsidR="008B67A2">
        <w:t>3</w:t>
      </w:r>
      <w:r w:rsidRPr="00ED29B8">
        <w:tab/>
      </w:r>
      <w:r w:rsidR="00346E2B">
        <w:t>FSANZ Act requirements</w:t>
      </w:r>
      <w:bookmarkEnd w:id="65"/>
    </w:p>
    <w:p w14:paraId="4C2363E6" w14:textId="31957558" w:rsidR="00C83E8E" w:rsidRDefault="00C83E8E" w:rsidP="00346E2B">
      <w:pPr>
        <w:rPr>
          <w:rFonts w:eastAsia="Calibri"/>
          <w:szCs w:val="20"/>
        </w:rPr>
      </w:pPr>
      <w:r>
        <w:rPr>
          <w:rFonts w:eastAsia="Calibri"/>
          <w:szCs w:val="20"/>
        </w:rPr>
        <w:t xml:space="preserve">Proposal P298 was prepared in 2005. For this reason, it has to be assessed in accordance with </w:t>
      </w:r>
      <w:r w:rsidRPr="007B155D">
        <w:rPr>
          <w:rFonts w:eastAsia="Calibri"/>
          <w:szCs w:val="20"/>
        </w:rPr>
        <w:t xml:space="preserve">the </w:t>
      </w:r>
      <w:r w:rsidRPr="007B155D">
        <w:rPr>
          <w:i/>
          <w:iCs/>
          <w:szCs w:val="20"/>
        </w:rPr>
        <w:t>Food Standards Australia New Zealand Act 1991</w:t>
      </w:r>
      <w:r w:rsidRPr="007B155D">
        <w:rPr>
          <w:iCs/>
          <w:szCs w:val="20"/>
        </w:rPr>
        <w:t xml:space="preserve"> </w:t>
      </w:r>
      <w:r w:rsidRPr="007B155D">
        <w:rPr>
          <w:rFonts w:eastAsia="Calibri"/>
          <w:szCs w:val="20"/>
        </w:rPr>
        <w:t>as was in force prior to 1 July 2007</w:t>
      </w:r>
      <w:r>
        <w:rPr>
          <w:rFonts w:eastAsia="Calibri"/>
          <w:szCs w:val="20"/>
        </w:rPr>
        <w:t xml:space="preserve">. </w:t>
      </w:r>
    </w:p>
    <w:p w14:paraId="71B7A467" w14:textId="7AD81401" w:rsidR="00346E2B" w:rsidRPr="00346E2B" w:rsidRDefault="00346E2B" w:rsidP="000E1ED4">
      <w:pPr>
        <w:pStyle w:val="Heading3"/>
      </w:pPr>
      <w:bookmarkStart w:id="66" w:name="_Toc451340602"/>
      <w:bookmarkStart w:id="67" w:name="_Toc413247506"/>
      <w:r w:rsidRPr="00346E2B">
        <w:t>2.</w:t>
      </w:r>
      <w:r w:rsidR="008B67A2">
        <w:t>3</w:t>
      </w:r>
      <w:r w:rsidRPr="00346E2B">
        <w:t>.1</w:t>
      </w:r>
      <w:r w:rsidRPr="00346E2B">
        <w:tab/>
        <w:t>Section 15AA of the FSANZ Act</w:t>
      </w:r>
      <w:bookmarkEnd w:id="66"/>
      <w:r w:rsidRPr="00346E2B">
        <w:t xml:space="preserve"> </w:t>
      </w:r>
      <w:bookmarkEnd w:id="67"/>
    </w:p>
    <w:p w14:paraId="0753000D" w14:textId="6217E089" w:rsidR="00C83E8E" w:rsidRDefault="00C83E8E" w:rsidP="008811FA">
      <w:pPr>
        <w:pStyle w:val="FSBullet1"/>
        <w:numPr>
          <w:ilvl w:val="0"/>
          <w:numId w:val="0"/>
        </w:numPr>
      </w:pPr>
      <w:r w:rsidRPr="00B71695">
        <w:rPr>
          <w:rFonts w:eastAsia="Calibri"/>
          <w:szCs w:val="20"/>
        </w:rPr>
        <w:t xml:space="preserve">Subsection </w:t>
      </w:r>
      <w:proofErr w:type="gramStart"/>
      <w:r w:rsidRPr="00B71695">
        <w:rPr>
          <w:rFonts w:eastAsia="Calibri"/>
          <w:szCs w:val="20"/>
        </w:rPr>
        <w:t>15AA(</w:t>
      </w:r>
      <w:proofErr w:type="gramEnd"/>
      <w:r w:rsidRPr="00B71695">
        <w:rPr>
          <w:rFonts w:eastAsia="Calibri"/>
          <w:szCs w:val="20"/>
        </w:rPr>
        <w:t xml:space="preserve">2) </w:t>
      </w:r>
      <w:r w:rsidR="00F97F1C" w:rsidRPr="00F97F1C">
        <w:rPr>
          <w:rFonts w:eastAsia="Calibri"/>
          <w:szCs w:val="20"/>
        </w:rPr>
        <w:t>(as was in force prior to 1 July 2007)</w:t>
      </w:r>
      <w:r w:rsidR="00F97F1C">
        <w:rPr>
          <w:rFonts w:eastAsia="Calibri"/>
          <w:szCs w:val="20"/>
        </w:rPr>
        <w:t xml:space="preserve"> of</w:t>
      </w:r>
      <w:r>
        <w:rPr>
          <w:rFonts w:eastAsia="Calibri"/>
          <w:szCs w:val="20"/>
        </w:rPr>
        <w:t xml:space="preserve"> the previous FSANZ Act </w:t>
      </w:r>
      <w:r w:rsidRPr="00B71695">
        <w:rPr>
          <w:rFonts w:eastAsia="Calibri"/>
          <w:szCs w:val="20"/>
        </w:rPr>
        <w:t>provides that FSANZ must have regard to</w:t>
      </w:r>
      <w:r>
        <w:rPr>
          <w:rFonts w:eastAsia="Calibri"/>
          <w:szCs w:val="20"/>
        </w:rPr>
        <w:t xml:space="preserve"> certain matters when assessing </w:t>
      </w:r>
      <w:r w:rsidRPr="00B71695">
        <w:rPr>
          <w:rFonts w:eastAsia="Calibri"/>
          <w:szCs w:val="20"/>
        </w:rPr>
        <w:t>a proposal</w:t>
      </w:r>
      <w:r>
        <w:t>. These are:</w:t>
      </w:r>
    </w:p>
    <w:p w14:paraId="69FC8AE5" w14:textId="77777777" w:rsidR="00C83E8E" w:rsidRDefault="00C83E8E" w:rsidP="008811FA">
      <w:pPr>
        <w:pStyle w:val="FSBullet1"/>
        <w:numPr>
          <w:ilvl w:val="0"/>
          <w:numId w:val="0"/>
        </w:numPr>
        <w:ind w:left="567" w:hanging="567"/>
      </w:pPr>
    </w:p>
    <w:p w14:paraId="311729C4" w14:textId="77777777" w:rsidR="00E73212" w:rsidRDefault="00346E2B" w:rsidP="008811FA">
      <w:pPr>
        <w:pStyle w:val="FSBullet1"/>
      </w:pPr>
      <w:r w:rsidRPr="00346E2B">
        <w:t>Any submissions made to it within the specified period in response to a notice sent or published under section 14A of the FSANZ Act (as was in force prior to 1 July 2007).</w:t>
      </w:r>
      <w:r w:rsidR="00C83E8E">
        <w:t xml:space="preserve"> </w:t>
      </w:r>
    </w:p>
    <w:p w14:paraId="281F0626" w14:textId="77777777" w:rsidR="00E73212" w:rsidRDefault="00E73212" w:rsidP="008811FA">
      <w:pPr>
        <w:pStyle w:val="FSBullet1"/>
        <w:numPr>
          <w:ilvl w:val="0"/>
          <w:numId w:val="0"/>
        </w:numPr>
        <w:ind w:left="567"/>
      </w:pPr>
    </w:p>
    <w:p w14:paraId="3E01C552" w14:textId="1BF1BD5C" w:rsidR="00346E2B" w:rsidRPr="00924699" w:rsidRDefault="009417C5" w:rsidP="008B67A2">
      <w:pPr>
        <w:pStyle w:val="FSBullet1"/>
        <w:numPr>
          <w:ilvl w:val="0"/>
          <w:numId w:val="0"/>
        </w:numPr>
        <w:ind w:firstLine="567"/>
        <w:rPr>
          <w:b/>
          <w:i/>
        </w:rPr>
      </w:pPr>
      <w:r>
        <w:t xml:space="preserve">This is discussed in section </w:t>
      </w:r>
      <w:r w:rsidR="00F97F1C">
        <w:t>2.2.4 above</w:t>
      </w:r>
    </w:p>
    <w:p w14:paraId="79DDDE85" w14:textId="77777777" w:rsidR="00346E2B" w:rsidRDefault="00346E2B" w:rsidP="00AC2538">
      <w:pPr>
        <w:ind w:left="567"/>
      </w:pPr>
    </w:p>
    <w:p w14:paraId="523EC9E6" w14:textId="77777777" w:rsidR="00346E2B" w:rsidRPr="00346E2B" w:rsidRDefault="00346E2B" w:rsidP="00E73212">
      <w:pPr>
        <w:pStyle w:val="FSBullet1"/>
      </w:pPr>
      <w:r w:rsidRPr="00346E2B">
        <w:t xml:space="preserve">The objectives and matters listed under section 10 of the FSANZ Act (as was in force prior to 1 July 2007) – these are addressed in section 2.4.2 of this report. </w:t>
      </w:r>
    </w:p>
    <w:p w14:paraId="3A4ABD93" w14:textId="77777777" w:rsidR="00346E2B" w:rsidRDefault="00346E2B" w:rsidP="00CA529A">
      <w:pPr>
        <w:ind w:left="851"/>
        <w:rPr>
          <w:b/>
        </w:rPr>
      </w:pPr>
    </w:p>
    <w:p w14:paraId="79C27799" w14:textId="11A62E07" w:rsidR="00253606" w:rsidRDefault="00346E2B" w:rsidP="00E73212">
      <w:pPr>
        <w:pStyle w:val="FSBullet1"/>
      </w:pPr>
      <w:r w:rsidRPr="00346E2B">
        <w:t>Any relevant New Zealand standards</w:t>
      </w:r>
      <w:r>
        <w:t xml:space="preserve"> – t</w:t>
      </w:r>
      <w:r w:rsidR="00253606" w:rsidRPr="009D2D84">
        <w:t xml:space="preserve">here are no relevant New Zealand </w:t>
      </w:r>
      <w:r w:rsidR="00D71DE6" w:rsidRPr="009D2D84">
        <w:t>Standards</w:t>
      </w:r>
      <w:r w:rsidR="00D71DE6">
        <w:t>;</w:t>
      </w:r>
      <w:r w:rsidR="00A2271D">
        <w:t xml:space="preserve"> the </w:t>
      </w:r>
      <w:r>
        <w:t>f</w:t>
      </w:r>
      <w:r w:rsidR="00A2271D">
        <w:t xml:space="preserve">ood </w:t>
      </w:r>
      <w:r>
        <w:t>a</w:t>
      </w:r>
      <w:r w:rsidR="00A2271D">
        <w:t>dditive standard</w:t>
      </w:r>
      <w:r>
        <w:t>s</w:t>
      </w:r>
      <w:r w:rsidR="00A2271D">
        <w:t xml:space="preserve"> </w:t>
      </w:r>
      <w:r>
        <w:t>are</w:t>
      </w:r>
      <w:r w:rsidR="00A2271D">
        <w:t xml:space="preserve"> joint standard</w:t>
      </w:r>
      <w:r>
        <w:t>s</w:t>
      </w:r>
      <w:r w:rsidR="00A2271D">
        <w:t>.</w:t>
      </w:r>
    </w:p>
    <w:p w14:paraId="01C9BD21" w14:textId="77777777" w:rsidR="00346E2B" w:rsidRDefault="00346E2B" w:rsidP="00846726">
      <w:pPr>
        <w:pStyle w:val="FSBullet1"/>
        <w:numPr>
          <w:ilvl w:val="0"/>
          <w:numId w:val="0"/>
        </w:numPr>
        <w:ind w:left="567" w:hanging="567"/>
      </w:pPr>
    </w:p>
    <w:p w14:paraId="222B3D59" w14:textId="1CA4A168" w:rsidR="00346E2B" w:rsidRDefault="00346E2B" w:rsidP="00846726">
      <w:pPr>
        <w:pStyle w:val="FSBullet1"/>
      </w:pPr>
      <w:r w:rsidRPr="00346E2B">
        <w:t xml:space="preserve">Any other relevant matters – </w:t>
      </w:r>
      <w:r w:rsidR="00C83E8E">
        <w:t>these are considered below</w:t>
      </w:r>
      <w:r w:rsidRPr="00846726">
        <w:t>.</w:t>
      </w:r>
    </w:p>
    <w:p w14:paraId="1BA765F8" w14:textId="2DD04522" w:rsidR="00346E2B" w:rsidRPr="00346E2B" w:rsidRDefault="00346E2B" w:rsidP="00346E2B">
      <w:pPr>
        <w:keepNext/>
        <w:spacing w:before="240" w:after="240"/>
        <w:ind w:left="851" w:hanging="851"/>
        <w:outlineLvl w:val="2"/>
        <w:rPr>
          <w:b/>
          <w:bCs/>
          <w:lang w:eastAsia="en-AU" w:bidi="ar-SA"/>
        </w:rPr>
      </w:pPr>
      <w:bookmarkStart w:id="68" w:name="_Toc309291819"/>
      <w:bookmarkStart w:id="69" w:name="_Toc365039857"/>
      <w:bookmarkStart w:id="70" w:name="_Toc413247507"/>
      <w:bookmarkStart w:id="71" w:name="_Toc451340603"/>
      <w:r w:rsidRPr="00346E2B">
        <w:rPr>
          <w:b/>
          <w:bCs/>
          <w:lang w:eastAsia="en-AU" w:bidi="ar-SA"/>
        </w:rPr>
        <w:t>2.</w:t>
      </w:r>
      <w:r w:rsidR="008B67A2">
        <w:rPr>
          <w:b/>
          <w:bCs/>
          <w:lang w:eastAsia="en-AU" w:bidi="ar-SA"/>
        </w:rPr>
        <w:t>3</w:t>
      </w:r>
      <w:r w:rsidRPr="00346E2B">
        <w:rPr>
          <w:b/>
          <w:bCs/>
          <w:lang w:eastAsia="en-AU" w:bidi="ar-SA"/>
        </w:rPr>
        <w:t>.2</w:t>
      </w:r>
      <w:r w:rsidRPr="00346E2B">
        <w:rPr>
          <w:b/>
          <w:bCs/>
          <w:lang w:eastAsia="en-AU" w:bidi="ar-SA"/>
        </w:rPr>
        <w:tab/>
        <w:t xml:space="preserve">Subsection 10(1) </w:t>
      </w:r>
      <w:bookmarkEnd w:id="68"/>
      <w:bookmarkEnd w:id="69"/>
      <w:bookmarkEnd w:id="70"/>
      <w:r w:rsidR="00F97F1C">
        <w:rPr>
          <w:b/>
          <w:bCs/>
          <w:lang w:eastAsia="en-AU" w:bidi="ar-SA"/>
        </w:rPr>
        <w:t>considerations</w:t>
      </w:r>
      <w:bookmarkEnd w:id="71"/>
    </w:p>
    <w:p w14:paraId="0E8AFD58" w14:textId="1D0C94AB" w:rsidR="00346E2B" w:rsidRPr="00346E2B" w:rsidRDefault="00346E2B" w:rsidP="00F141B4">
      <w:pPr>
        <w:widowControl/>
        <w:rPr>
          <w:lang w:bidi="ar-SA"/>
        </w:rPr>
      </w:pPr>
      <w:r w:rsidRPr="008C301D">
        <w:rPr>
          <w:rFonts w:cs="Arial"/>
        </w:rPr>
        <w:t xml:space="preserve">FSANZ </w:t>
      </w:r>
      <w:r w:rsidRPr="008C301D">
        <w:t xml:space="preserve">considered the three objectives in </w:t>
      </w:r>
      <w:r>
        <w:t>sub</w:t>
      </w:r>
      <w:r w:rsidRPr="008C301D">
        <w:t xml:space="preserve">section </w:t>
      </w:r>
      <w:r>
        <w:t>10</w:t>
      </w:r>
      <w:r w:rsidRPr="0066107A">
        <w:t>(1</w:t>
      </w:r>
      <w:r w:rsidRPr="00F97F1C">
        <w:t xml:space="preserve">) </w:t>
      </w:r>
      <w:r w:rsidR="00F97F1C" w:rsidRPr="00F97F1C">
        <w:rPr>
          <w:bCs/>
        </w:rPr>
        <w:t>(as was in force prior to 1 July 2007)</w:t>
      </w:r>
      <w:r w:rsidR="00F97F1C" w:rsidRPr="00F97F1C">
        <w:rPr>
          <w:b/>
          <w:bCs/>
        </w:rPr>
        <w:t xml:space="preserve"> </w:t>
      </w:r>
      <w:r w:rsidRPr="0033459B">
        <w:t>during the assessment of this Proposal as follows.</w:t>
      </w:r>
      <w:r w:rsidRPr="008C301D">
        <w:t xml:space="preserve"> </w:t>
      </w:r>
    </w:p>
    <w:p w14:paraId="16BBE2FF" w14:textId="7362938F" w:rsidR="00346E2B" w:rsidRPr="00346E2B" w:rsidRDefault="00346E2B" w:rsidP="00346E2B">
      <w:pPr>
        <w:pStyle w:val="Heading4"/>
        <w:rPr>
          <w:rFonts w:eastAsia="Times New Roman" w:cs="Times New Roman"/>
        </w:rPr>
      </w:pPr>
      <w:bookmarkStart w:id="72" w:name="_Toc297029117"/>
      <w:bookmarkStart w:id="73" w:name="_Toc365039858"/>
      <w:r w:rsidRPr="00346E2B">
        <w:rPr>
          <w:rFonts w:eastAsia="Times New Roman" w:cs="Times New Roman"/>
        </w:rPr>
        <w:t>2.</w:t>
      </w:r>
      <w:r w:rsidR="008B67A2">
        <w:rPr>
          <w:rFonts w:eastAsia="Times New Roman" w:cs="Times New Roman"/>
        </w:rPr>
        <w:t>3</w:t>
      </w:r>
      <w:r w:rsidRPr="00346E2B">
        <w:rPr>
          <w:rFonts w:eastAsia="Times New Roman" w:cs="Times New Roman"/>
        </w:rPr>
        <w:t>.2.1</w:t>
      </w:r>
      <w:r w:rsidRPr="00346E2B">
        <w:rPr>
          <w:rFonts w:eastAsia="Times New Roman" w:cs="Times New Roman"/>
        </w:rPr>
        <w:tab/>
        <w:t>Protection of public health and safety</w:t>
      </w:r>
      <w:bookmarkEnd w:id="72"/>
      <w:bookmarkEnd w:id="73"/>
    </w:p>
    <w:p w14:paraId="592AE912" w14:textId="55F9A5D4" w:rsidR="00686BFF" w:rsidRPr="00362B9A" w:rsidRDefault="00A14B33" w:rsidP="002A1F5B">
      <w:r>
        <w:t xml:space="preserve">FSANZ’s assessment, based on the best scientific evidence currently available, is that there is a negligible </w:t>
      </w:r>
      <w:r w:rsidRPr="00446166">
        <w:rPr>
          <w:lang w:val="en-AU"/>
        </w:rPr>
        <w:t xml:space="preserve">likelihood of health and safety </w:t>
      </w:r>
      <w:r>
        <w:rPr>
          <w:lang w:val="en-AU"/>
        </w:rPr>
        <w:t>risks</w:t>
      </w:r>
      <w:r w:rsidRPr="00446166">
        <w:rPr>
          <w:lang w:val="en-AU"/>
        </w:rPr>
        <w:t xml:space="preserve"> for the Australian and New Zealand populations</w:t>
      </w:r>
      <w:r>
        <w:rPr>
          <w:lang w:val="en-AU"/>
        </w:rPr>
        <w:t>, including children,</w:t>
      </w:r>
      <w:r w:rsidRPr="00446166">
        <w:rPr>
          <w:lang w:val="en-AU"/>
        </w:rPr>
        <w:t xml:space="preserve"> arising from the consumption of foods containing sulphites and benzoates</w:t>
      </w:r>
      <w:r w:rsidR="00686BFF" w:rsidRPr="00362B9A">
        <w:t>.</w:t>
      </w:r>
    </w:p>
    <w:p w14:paraId="53B6B97D" w14:textId="27C3CE69" w:rsidR="00686BFF" w:rsidRPr="00686BFF" w:rsidRDefault="00686BFF" w:rsidP="00686BFF">
      <w:pPr>
        <w:keepNext/>
        <w:spacing w:before="240" w:after="240"/>
        <w:ind w:left="851" w:hanging="851"/>
        <w:outlineLvl w:val="3"/>
        <w:rPr>
          <w:b/>
          <w:bCs/>
          <w:i/>
          <w:iCs/>
          <w:szCs w:val="22"/>
          <w:lang w:bidi="ar-SA"/>
        </w:rPr>
      </w:pPr>
      <w:bookmarkStart w:id="74" w:name="_Toc365039859"/>
      <w:r w:rsidRPr="00686BFF">
        <w:rPr>
          <w:b/>
          <w:bCs/>
          <w:i/>
          <w:iCs/>
          <w:szCs w:val="22"/>
          <w:lang w:bidi="ar-SA"/>
        </w:rPr>
        <w:lastRenderedPageBreak/>
        <w:t>2.</w:t>
      </w:r>
      <w:r w:rsidR="008B67A2">
        <w:rPr>
          <w:b/>
          <w:bCs/>
          <w:i/>
          <w:iCs/>
          <w:szCs w:val="22"/>
          <w:lang w:bidi="ar-SA"/>
        </w:rPr>
        <w:t>3</w:t>
      </w:r>
      <w:r w:rsidRPr="00686BFF">
        <w:rPr>
          <w:b/>
          <w:bCs/>
          <w:i/>
          <w:iCs/>
          <w:szCs w:val="22"/>
          <w:lang w:bidi="ar-SA"/>
        </w:rPr>
        <w:t>.2.2</w:t>
      </w:r>
      <w:r w:rsidRPr="00686BFF">
        <w:rPr>
          <w:b/>
          <w:bCs/>
          <w:i/>
          <w:iCs/>
          <w:szCs w:val="22"/>
          <w:lang w:bidi="ar-SA"/>
        </w:rPr>
        <w:tab/>
        <w:t>The provision of adequate information relating to food to enable consumers to make informed choices</w:t>
      </w:r>
      <w:bookmarkEnd w:id="74"/>
    </w:p>
    <w:p w14:paraId="463D3917" w14:textId="77777777" w:rsidR="00686BFF" w:rsidRPr="00520D46" w:rsidRDefault="00686BFF" w:rsidP="002A1F5B">
      <w:pPr>
        <w:rPr>
          <w:lang w:bidi="ar-SA"/>
        </w:rPr>
      </w:pPr>
      <w:r w:rsidRPr="0050337C">
        <w:t xml:space="preserve">This objective is not relevant to this </w:t>
      </w:r>
      <w:r>
        <w:t>Proposal</w:t>
      </w:r>
      <w:r w:rsidRPr="0050337C">
        <w:t>.</w:t>
      </w:r>
    </w:p>
    <w:p w14:paraId="72DC724E" w14:textId="1DD2568E" w:rsidR="00686BFF" w:rsidRPr="00686BFF" w:rsidRDefault="00686BFF" w:rsidP="00686BFF">
      <w:pPr>
        <w:keepNext/>
        <w:spacing w:before="240" w:after="240"/>
        <w:ind w:left="851" w:hanging="851"/>
        <w:outlineLvl w:val="3"/>
        <w:rPr>
          <w:b/>
          <w:bCs/>
          <w:i/>
          <w:iCs/>
          <w:szCs w:val="22"/>
          <w:lang w:bidi="ar-SA"/>
        </w:rPr>
      </w:pPr>
      <w:bookmarkStart w:id="75" w:name="_Toc365039860"/>
      <w:r w:rsidRPr="00686BFF">
        <w:rPr>
          <w:b/>
          <w:bCs/>
          <w:i/>
          <w:iCs/>
          <w:szCs w:val="22"/>
          <w:lang w:bidi="ar-SA"/>
        </w:rPr>
        <w:t>2.</w:t>
      </w:r>
      <w:r w:rsidR="008B67A2">
        <w:rPr>
          <w:b/>
          <w:bCs/>
          <w:i/>
          <w:iCs/>
          <w:szCs w:val="22"/>
          <w:lang w:bidi="ar-SA"/>
        </w:rPr>
        <w:t>3</w:t>
      </w:r>
      <w:r w:rsidRPr="00686BFF">
        <w:rPr>
          <w:b/>
          <w:bCs/>
          <w:i/>
          <w:iCs/>
          <w:szCs w:val="22"/>
          <w:lang w:bidi="ar-SA"/>
        </w:rPr>
        <w:t>.2.3</w:t>
      </w:r>
      <w:r w:rsidRPr="00686BFF">
        <w:rPr>
          <w:b/>
          <w:bCs/>
          <w:i/>
          <w:iCs/>
          <w:szCs w:val="22"/>
          <w:lang w:bidi="ar-SA"/>
        </w:rPr>
        <w:tab/>
        <w:t>The prevention of misleading or deceptive conduct</w:t>
      </w:r>
      <w:bookmarkEnd w:id="75"/>
    </w:p>
    <w:p w14:paraId="2C9A0B05" w14:textId="7A796E97" w:rsidR="00686BFF" w:rsidRDefault="00686BFF" w:rsidP="002A1F5B">
      <w:pPr>
        <w:rPr>
          <w:b/>
        </w:rPr>
      </w:pPr>
      <w:r w:rsidRPr="0050337C">
        <w:t xml:space="preserve">This objective is not relevant to this </w:t>
      </w:r>
      <w:r>
        <w:t>Proposal</w:t>
      </w:r>
    </w:p>
    <w:p w14:paraId="6BF5698A" w14:textId="1F769451" w:rsidR="00686BFF" w:rsidRPr="00686BFF" w:rsidRDefault="00686BFF" w:rsidP="00686BFF">
      <w:pPr>
        <w:widowControl/>
        <w:spacing w:before="240" w:after="240"/>
        <w:ind w:left="851" w:hanging="851"/>
        <w:outlineLvl w:val="2"/>
        <w:rPr>
          <w:b/>
          <w:bCs/>
          <w:lang w:eastAsia="en-AU" w:bidi="ar-SA"/>
        </w:rPr>
      </w:pPr>
      <w:bookmarkStart w:id="76" w:name="_Toc365039861"/>
      <w:bookmarkStart w:id="77" w:name="_Toc413247508"/>
      <w:bookmarkStart w:id="78" w:name="_Toc451340604"/>
      <w:r w:rsidRPr="00686BFF">
        <w:rPr>
          <w:b/>
          <w:bCs/>
          <w:lang w:eastAsia="en-AU" w:bidi="ar-SA"/>
        </w:rPr>
        <w:t>2.</w:t>
      </w:r>
      <w:r w:rsidR="008B67A2">
        <w:rPr>
          <w:b/>
          <w:bCs/>
          <w:lang w:eastAsia="en-AU" w:bidi="ar-SA"/>
        </w:rPr>
        <w:t>3</w:t>
      </w:r>
      <w:r w:rsidRPr="00686BFF">
        <w:rPr>
          <w:b/>
          <w:bCs/>
          <w:lang w:eastAsia="en-AU" w:bidi="ar-SA"/>
        </w:rPr>
        <w:t>.3</w:t>
      </w:r>
      <w:r w:rsidRPr="00686BFF">
        <w:rPr>
          <w:b/>
          <w:bCs/>
          <w:lang w:eastAsia="en-AU" w:bidi="ar-SA"/>
        </w:rPr>
        <w:tab/>
        <w:t>Subsection 10(2) considerations</w:t>
      </w:r>
      <w:bookmarkEnd w:id="76"/>
      <w:bookmarkEnd w:id="77"/>
      <w:bookmarkEnd w:id="78"/>
      <w:r w:rsidRPr="00686BFF">
        <w:rPr>
          <w:b/>
          <w:bCs/>
          <w:lang w:eastAsia="en-AU" w:bidi="ar-SA"/>
        </w:rPr>
        <w:t xml:space="preserve"> </w:t>
      </w:r>
    </w:p>
    <w:p w14:paraId="40DEBFDB" w14:textId="36094B83" w:rsidR="00686BFF" w:rsidRPr="00F97F1C" w:rsidRDefault="00686BFF" w:rsidP="00686BFF">
      <w:pPr>
        <w:widowControl/>
        <w:rPr>
          <w:rFonts w:cs="Arial"/>
        </w:rPr>
      </w:pPr>
      <w:r w:rsidRPr="00686BFF">
        <w:rPr>
          <w:rFonts w:cs="Arial"/>
        </w:rPr>
        <w:t>FSANZ has also had regard to the objectives set out in subsection 10(2)</w:t>
      </w:r>
      <w:r w:rsidR="00F97F1C">
        <w:rPr>
          <w:rFonts w:cs="Arial"/>
        </w:rPr>
        <w:t xml:space="preserve"> </w:t>
      </w:r>
      <w:r w:rsidR="00F97F1C" w:rsidRPr="00F97F1C">
        <w:rPr>
          <w:rFonts w:cs="Arial"/>
          <w:bCs/>
        </w:rPr>
        <w:t>(as was in force prior to 1 July 2007)</w:t>
      </w:r>
      <w:r w:rsidRPr="00F97F1C">
        <w:rPr>
          <w:rFonts w:cs="Arial"/>
        </w:rPr>
        <w:t>:</w:t>
      </w:r>
    </w:p>
    <w:p w14:paraId="3C72FD9D" w14:textId="77777777" w:rsidR="00686BFF" w:rsidRPr="00686BFF" w:rsidRDefault="00686BFF" w:rsidP="00686BFF">
      <w:pPr>
        <w:widowControl/>
        <w:rPr>
          <w:rFonts w:cs="Arial"/>
        </w:rPr>
      </w:pPr>
    </w:p>
    <w:p w14:paraId="22784DB3" w14:textId="77777777" w:rsidR="00686BFF" w:rsidRPr="002A1F5B" w:rsidRDefault="00686BFF" w:rsidP="002A1F5B">
      <w:pPr>
        <w:pStyle w:val="FSBullet1"/>
        <w:rPr>
          <w:b/>
        </w:rPr>
      </w:pPr>
      <w:r w:rsidRPr="002A1F5B">
        <w:rPr>
          <w:b/>
        </w:rPr>
        <w:t>the need for standards to be based on risk analysis using the best available scientific evidence</w:t>
      </w:r>
    </w:p>
    <w:p w14:paraId="3E0B9C0E" w14:textId="77777777" w:rsidR="00686BFF" w:rsidRDefault="00686BFF" w:rsidP="002A1F5B">
      <w:pPr>
        <w:rPr>
          <w:b/>
        </w:rPr>
      </w:pPr>
    </w:p>
    <w:p w14:paraId="2C6B6292" w14:textId="0BC2E2D1" w:rsidR="00253606" w:rsidRDefault="00A14B33" w:rsidP="002A1F5B">
      <w:pPr>
        <w:rPr>
          <w:lang w:bidi="ar-SA"/>
        </w:rPr>
      </w:pPr>
      <w:r>
        <w:rPr>
          <w:lang w:bidi="ar-SA"/>
        </w:rPr>
        <w:t xml:space="preserve">FSANZ’s risk assessment </w:t>
      </w:r>
      <w:r w:rsidR="009417C5">
        <w:rPr>
          <w:lang w:bidi="ar-SA"/>
        </w:rPr>
        <w:t xml:space="preserve">(SD1) </w:t>
      </w:r>
      <w:r>
        <w:rPr>
          <w:lang w:bidi="ar-SA"/>
        </w:rPr>
        <w:t>was based on the best scientific evidence currently available.</w:t>
      </w:r>
    </w:p>
    <w:p w14:paraId="4EEAAE15" w14:textId="77777777" w:rsidR="00686BFF" w:rsidRDefault="00686BFF" w:rsidP="002A1F5B">
      <w:pPr>
        <w:rPr>
          <w:lang w:bidi="ar-SA"/>
        </w:rPr>
      </w:pPr>
    </w:p>
    <w:p w14:paraId="358BD2B0" w14:textId="77777777" w:rsidR="00686BFF" w:rsidRPr="001A20A5" w:rsidRDefault="00686BFF" w:rsidP="001A20A5">
      <w:pPr>
        <w:pStyle w:val="FSBullet1"/>
        <w:rPr>
          <w:b/>
        </w:rPr>
      </w:pPr>
      <w:r w:rsidRPr="001A20A5">
        <w:rPr>
          <w:b/>
        </w:rPr>
        <w:t>the promotion of consistency between domestic and international food standards</w:t>
      </w:r>
    </w:p>
    <w:p w14:paraId="7813D62B" w14:textId="77777777" w:rsidR="00686BFF" w:rsidRDefault="00686BFF" w:rsidP="001A20A5">
      <w:pPr>
        <w:rPr>
          <w:b/>
          <w:i/>
        </w:rPr>
      </w:pPr>
    </w:p>
    <w:p w14:paraId="60C76E5A" w14:textId="2D43139D" w:rsidR="00253606" w:rsidRDefault="00A14B33" w:rsidP="001A20A5">
      <w:pPr>
        <w:rPr>
          <w:lang w:bidi="ar-SA"/>
        </w:rPr>
      </w:pPr>
      <w:r>
        <w:rPr>
          <w:lang w:bidi="ar-SA"/>
        </w:rPr>
        <w:t>No change is proposed to the relevant standards</w:t>
      </w:r>
      <w:r w:rsidR="00253606" w:rsidRPr="0050337C">
        <w:rPr>
          <w:lang w:bidi="ar-SA"/>
        </w:rPr>
        <w:t>.</w:t>
      </w:r>
    </w:p>
    <w:p w14:paraId="65255CB8" w14:textId="77777777" w:rsidR="00686BFF" w:rsidRDefault="00686BFF" w:rsidP="001A20A5">
      <w:pPr>
        <w:rPr>
          <w:lang w:bidi="ar-SA"/>
        </w:rPr>
      </w:pPr>
    </w:p>
    <w:p w14:paraId="0CB2E702" w14:textId="77777777" w:rsidR="00686BFF" w:rsidRPr="001A20A5" w:rsidRDefault="00686BFF" w:rsidP="001A20A5">
      <w:pPr>
        <w:pStyle w:val="FSBullet1"/>
        <w:rPr>
          <w:b/>
        </w:rPr>
      </w:pPr>
      <w:r w:rsidRPr="001A20A5">
        <w:rPr>
          <w:b/>
        </w:rPr>
        <w:t>the desirability of an efficient and internationally competitive food industry</w:t>
      </w:r>
    </w:p>
    <w:p w14:paraId="37E859EE" w14:textId="77777777" w:rsidR="00686BFF" w:rsidRDefault="00686BFF" w:rsidP="00636061">
      <w:pPr>
        <w:ind w:left="851"/>
        <w:rPr>
          <w:b/>
          <w:i/>
        </w:rPr>
      </w:pPr>
    </w:p>
    <w:p w14:paraId="37314D1B" w14:textId="11C7C2C2" w:rsidR="00A14B33" w:rsidRDefault="009417C5" w:rsidP="00A14B33">
      <w:pPr>
        <w:rPr>
          <w:lang w:bidi="ar-SA"/>
        </w:rPr>
      </w:pPr>
      <w:r>
        <w:rPr>
          <w:lang w:bidi="ar-SA"/>
        </w:rPr>
        <w:t>As no regulatory changes are proposed</w:t>
      </w:r>
      <w:r w:rsidR="006A3B2C">
        <w:rPr>
          <w:lang w:bidi="ar-SA"/>
        </w:rPr>
        <w:t>,</w:t>
      </w:r>
      <w:r>
        <w:rPr>
          <w:lang w:bidi="ar-SA"/>
        </w:rPr>
        <w:t xml:space="preserve"> there is no further cost impost on industry which could arise due to a need to alter practices</w:t>
      </w:r>
      <w:r w:rsidR="005D4053">
        <w:rPr>
          <w:lang w:bidi="ar-SA"/>
        </w:rPr>
        <w:t xml:space="preserve"> to address safety concerns</w:t>
      </w:r>
      <w:r>
        <w:rPr>
          <w:lang w:bidi="ar-SA"/>
        </w:rPr>
        <w:t xml:space="preserve">. </w:t>
      </w:r>
    </w:p>
    <w:p w14:paraId="418A925C" w14:textId="2862E4CA" w:rsidR="00686BFF" w:rsidRPr="00D30BFF" w:rsidRDefault="00686BFF" w:rsidP="001A20A5">
      <w:pPr>
        <w:rPr>
          <w:lang w:bidi="ar-SA"/>
        </w:rPr>
      </w:pPr>
    </w:p>
    <w:p w14:paraId="6E0C12BD" w14:textId="77777777" w:rsidR="00686BFF" w:rsidRPr="001A20A5" w:rsidRDefault="00686BFF" w:rsidP="001A20A5">
      <w:pPr>
        <w:pStyle w:val="FSBullet1"/>
        <w:rPr>
          <w:b/>
        </w:rPr>
      </w:pPr>
      <w:r w:rsidRPr="001A20A5">
        <w:rPr>
          <w:b/>
        </w:rPr>
        <w:t>the promotion of fair trading in food</w:t>
      </w:r>
    </w:p>
    <w:p w14:paraId="78FA85DF" w14:textId="77777777" w:rsidR="00686BFF" w:rsidRDefault="00686BFF" w:rsidP="001A20A5">
      <w:pPr>
        <w:rPr>
          <w:b/>
          <w:i/>
        </w:rPr>
      </w:pPr>
    </w:p>
    <w:p w14:paraId="37529E74" w14:textId="4BDA1FB8" w:rsidR="00A14B33" w:rsidRDefault="00A14B33" w:rsidP="00A14B33">
      <w:pPr>
        <w:rPr>
          <w:lang w:bidi="ar-SA"/>
        </w:rPr>
      </w:pPr>
      <w:r>
        <w:rPr>
          <w:lang w:bidi="ar-SA"/>
        </w:rPr>
        <w:t>No</w:t>
      </w:r>
      <w:r w:rsidR="009417C5">
        <w:rPr>
          <w:lang w:bidi="ar-SA"/>
        </w:rPr>
        <w:t>t relevant</w:t>
      </w:r>
      <w:r w:rsidDel="009417C5">
        <w:rPr>
          <w:lang w:bidi="ar-SA"/>
        </w:rPr>
        <w:t xml:space="preserve"> </w:t>
      </w:r>
      <w:r>
        <w:rPr>
          <w:lang w:bidi="ar-SA"/>
        </w:rPr>
        <w:t>in relation to this matter.</w:t>
      </w:r>
    </w:p>
    <w:p w14:paraId="45B1EB3E" w14:textId="77777777" w:rsidR="00686BFF" w:rsidRDefault="00686BFF" w:rsidP="001A20A5">
      <w:pPr>
        <w:rPr>
          <w:lang w:bidi="ar-SA"/>
        </w:rPr>
      </w:pPr>
    </w:p>
    <w:p w14:paraId="064528D0" w14:textId="77777777" w:rsidR="00686BFF" w:rsidRDefault="00686BFF" w:rsidP="001A20A5">
      <w:pPr>
        <w:pStyle w:val="FSBullet1"/>
        <w:rPr>
          <w:b/>
        </w:rPr>
      </w:pPr>
      <w:r w:rsidRPr="001A20A5">
        <w:rPr>
          <w:b/>
        </w:rPr>
        <w:t>any written policy guidelines formulated by the then Ministerial Council</w:t>
      </w:r>
    </w:p>
    <w:p w14:paraId="59D15366" w14:textId="77777777" w:rsidR="00686BFF" w:rsidRPr="00686BFF" w:rsidRDefault="00686BFF" w:rsidP="001A20A5">
      <w:pPr>
        <w:rPr>
          <w:lang w:bidi="ar-SA"/>
        </w:rPr>
      </w:pPr>
    </w:p>
    <w:p w14:paraId="55329B39" w14:textId="69942C5C" w:rsidR="000E3AAE" w:rsidRDefault="00253606" w:rsidP="001A20A5">
      <w:pPr>
        <w:rPr>
          <w:lang w:bidi="ar-SA"/>
        </w:rPr>
      </w:pPr>
      <w:r w:rsidRPr="0050337C">
        <w:rPr>
          <w:lang w:bidi="ar-SA"/>
        </w:rPr>
        <w:t xml:space="preserve">FSANZ has had regard to the Policy </w:t>
      </w:r>
      <w:r w:rsidR="00CA529A">
        <w:rPr>
          <w:lang w:bidi="ar-SA"/>
        </w:rPr>
        <w:t>G</w:t>
      </w:r>
      <w:r w:rsidRPr="0050337C">
        <w:rPr>
          <w:lang w:bidi="ar-SA"/>
        </w:rPr>
        <w:t xml:space="preserve">uideline on </w:t>
      </w:r>
      <w:r w:rsidR="00CA529A">
        <w:rPr>
          <w:lang w:bidi="ar-SA"/>
        </w:rPr>
        <w:t>A</w:t>
      </w:r>
      <w:r w:rsidRPr="0050337C">
        <w:rPr>
          <w:lang w:bidi="ar-SA"/>
        </w:rPr>
        <w:t xml:space="preserve">ddition to </w:t>
      </w:r>
      <w:r w:rsidR="00CA529A">
        <w:rPr>
          <w:lang w:bidi="ar-SA"/>
        </w:rPr>
        <w:t>F</w:t>
      </w:r>
      <w:r w:rsidRPr="0050337C">
        <w:rPr>
          <w:lang w:bidi="ar-SA"/>
        </w:rPr>
        <w:t xml:space="preserve">ood of </w:t>
      </w:r>
      <w:r w:rsidR="00CA529A">
        <w:rPr>
          <w:lang w:bidi="ar-SA"/>
        </w:rPr>
        <w:t>S</w:t>
      </w:r>
      <w:r w:rsidRPr="0050337C">
        <w:rPr>
          <w:lang w:bidi="ar-SA"/>
        </w:rPr>
        <w:t>ubstances ot</w:t>
      </w:r>
      <w:r>
        <w:rPr>
          <w:lang w:bidi="ar-SA"/>
        </w:rPr>
        <w:t xml:space="preserve">her than </w:t>
      </w:r>
      <w:r w:rsidR="00CA529A">
        <w:rPr>
          <w:lang w:bidi="ar-SA"/>
        </w:rPr>
        <w:t>V</w:t>
      </w:r>
      <w:r>
        <w:rPr>
          <w:lang w:bidi="ar-SA"/>
        </w:rPr>
        <w:t xml:space="preserve">itamins and </w:t>
      </w:r>
      <w:r w:rsidR="00CA529A">
        <w:rPr>
          <w:lang w:bidi="ar-SA"/>
        </w:rPr>
        <w:t>M</w:t>
      </w:r>
      <w:r>
        <w:rPr>
          <w:lang w:bidi="ar-SA"/>
        </w:rPr>
        <w:t>inerals.</w:t>
      </w:r>
    </w:p>
    <w:p w14:paraId="204018E7" w14:textId="77777777" w:rsidR="00686BFF" w:rsidRDefault="00686BFF" w:rsidP="001A20A5">
      <w:pPr>
        <w:rPr>
          <w:lang w:bidi="ar-SA"/>
        </w:rPr>
      </w:pPr>
    </w:p>
    <w:p w14:paraId="4C360AAB" w14:textId="77777777" w:rsidR="00686BFF" w:rsidRPr="00686BFF" w:rsidRDefault="00686BFF" w:rsidP="00686BFF">
      <w:pPr>
        <w:pStyle w:val="Heading1"/>
        <w:keepNext w:val="0"/>
        <w:rPr>
          <w:rFonts w:eastAsia="Times New Roman" w:cs="Times New Roman"/>
        </w:rPr>
      </w:pPr>
      <w:bookmarkStart w:id="79" w:name="_Toc413247509"/>
      <w:bookmarkStart w:id="80" w:name="_Toc451340605"/>
      <w:r w:rsidRPr="00686BFF">
        <w:rPr>
          <w:rFonts w:eastAsia="Times New Roman" w:cs="Times New Roman"/>
        </w:rPr>
        <w:t>3</w:t>
      </w:r>
      <w:r w:rsidRPr="00686BFF">
        <w:rPr>
          <w:rFonts w:eastAsia="Times New Roman" w:cs="Times New Roman"/>
        </w:rPr>
        <w:tab/>
        <w:t>Rights of review</w:t>
      </w:r>
      <w:bookmarkEnd w:id="79"/>
      <w:bookmarkEnd w:id="80"/>
    </w:p>
    <w:p w14:paraId="2F4A83D8" w14:textId="37F7FD15" w:rsidR="00686BFF" w:rsidRPr="000E3AAE" w:rsidRDefault="00686BFF" w:rsidP="008811FA">
      <w:pPr>
        <w:widowControl/>
      </w:pPr>
      <w:bookmarkStart w:id="81" w:name="_Toc309385465"/>
      <w:bookmarkStart w:id="82" w:name="_Toc300933452"/>
      <w:bookmarkStart w:id="83" w:name="_Toc300933581"/>
      <w:bookmarkStart w:id="84" w:name="_Toc301535602"/>
      <w:r w:rsidRPr="00686BFF">
        <w:rPr>
          <w:rFonts w:cs="Arial"/>
          <w:lang w:bidi="ar-SA"/>
        </w:rPr>
        <w:t xml:space="preserve">Under section 63 of the FSANZ Act (as was in force prior to 1 July 2007), the decision is not reviewable by the Administrative Appeals Tribunal. </w:t>
      </w:r>
      <w:bookmarkEnd w:id="81"/>
      <w:bookmarkEnd w:id="82"/>
      <w:bookmarkEnd w:id="83"/>
      <w:bookmarkEnd w:id="84"/>
    </w:p>
    <w:p w14:paraId="7AC09386" w14:textId="347E3DEE" w:rsidR="00BA5281" w:rsidRDefault="00BA5281" w:rsidP="005A09F8">
      <w:bookmarkStart w:id="85" w:name="_Toc300761912"/>
      <w:bookmarkStart w:id="86" w:name="_Toc300933439"/>
      <w:bookmarkStart w:id="87" w:name="_Toc11735640"/>
      <w:bookmarkStart w:id="88" w:name="_Toc29883125"/>
      <w:bookmarkStart w:id="89" w:name="_Toc41906812"/>
      <w:bookmarkStart w:id="90" w:name="_Toc41907559"/>
      <w:bookmarkStart w:id="91" w:name="_Toc120358593"/>
      <w:bookmarkStart w:id="92" w:name="_Toc286391014"/>
      <w:bookmarkStart w:id="93" w:name="_Toc175381455"/>
      <w:bookmarkStart w:id="94" w:name="_Toc300933445"/>
      <w:bookmarkStart w:id="95" w:name="_Toc418495261"/>
      <w:bookmarkStart w:id="96" w:name="_Toc175381456"/>
      <w:bookmarkStart w:id="97" w:name="_Toc300761917"/>
      <w:bookmarkStart w:id="98" w:name="_Toc300933449"/>
      <w:bookmarkStart w:id="99" w:name="_Toc365988820"/>
      <w:bookmarkStart w:id="100" w:name="_Toc11735643"/>
      <w:bookmarkStart w:id="101" w:name="_Toc29883130"/>
      <w:bookmarkStart w:id="102" w:name="_Toc41906817"/>
      <w:bookmarkStart w:id="103" w:name="_Toc41907564"/>
      <w:bookmarkStart w:id="104" w:name="_Toc43112360"/>
      <w:bookmarkEnd w:id="30"/>
      <w:bookmarkEnd w:id="31"/>
      <w:bookmarkEnd w:id="32"/>
      <w:bookmarkEnd w:id="33"/>
      <w:bookmarkEnd w:id="34"/>
      <w:bookmarkEnd w:id="35"/>
      <w:bookmarkEnd w:id="56"/>
      <w:bookmarkEnd w:id="57"/>
      <w:bookmarkEnd w:id="5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4AA9DA4" w14:textId="691288F4" w:rsidR="00BA5281" w:rsidRDefault="00B16C53" w:rsidP="000179D3">
      <w:pPr>
        <w:pStyle w:val="Heading1"/>
      </w:pPr>
      <w:bookmarkStart w:id="105" w:name="_Toc451340606"/>
      <w:r>
        <w:t>4</w:t>
      </w:r>
      <w:r w:rsidR="00BA5281">
        <w:tab/>
        <w:t>References</w:t>
      </w:r>
      <w:bookmarkEnd w:id="105"/>
    </w:p>
    <w:p w14:paraId="6DDCF5AE" w14:textId="1A3CC1DB" w:rsidR="00FC7BFB" w:rsidRPr="00BC3F0D" w:rsidRDefault="00FC7BFB" w:rsidP="00FC7BFB">
      <w:pPr>
        <w:widowControl/>
        <w:rPr>
          <w:sz w:val="20"/>
          <w:szCs w:val="20"/>
          <w:lang w:bidi="ar-SA"/>
        </w:rPr>
      </w:pPr>
      <w:proofErr w:type="gramStart"/>
      <w:r w:rsidRPr="00BC3F0D">
        <w:rPr>
          <w:sz w:val="20"/>
          <w:szCs w:val="20"/>
          <w:lang w:bidi="ar-SA"/>
        </w:rPr>
        <w:t>FSANZ (2005).</w:t>
      </w:r>
      <w:proofErr w:type="gramEnd"/>
      <w:r w:rsidRPr="00BC3F0D">
        <w:rPr>
          <w:sz w:val="20"/>
          <w:szCs w:val="20"/>
          <w:lang w:bidi="ar-SA"/>
        </w:rPr>
        <w:t xml:space="preserve"> </w:t>
      </w:r>
      <w:r w:rsidRPr="00BC3F0D">
        <w:rPr>
          <w:i/>
          <w:sz w:val="20"/>
          <w:szCs w:val="20"/>
          <w:lang w:bidi="ar-SA"/>
        </w:rPr>
        <w:t>21</w:t>
      </w:r>
      <w:r w:rsidRPr="00BC3F0D">
        <w:rPr>
          <w:i/>
          <w:sz w:val="20"/>
          <w:szCs w:val="20"/>
          <w:vertAlign w:val="superscript"/>
          <w:lang w:bidi="ar-SA"/>
        </w:rPr>
        <w:t>st</w:t>
      </w:r>
      <w:r w:rsidRPr="00BC3F0D">
        <w:rPr>
          <w:i/>
          <w:sz w:val="20"/>
          <w:szCs w:val="20"/>
          <w:lang w:bidi="ar-SA"/>
        </w:rPr>
        <w:t xml:space="preserve"> Australian Total Diet </w:t>
      </w:r>
      <w:proofErr w:type="gramStart"/>
      <w:r w:rsidRPr="00BC3F0D">
        <w:rPr>
          <w:i/>
          <w:sz w:val="20"/>
          <w:szCs w:val="20"/>
          <w:lang w:bidi="ar-SA"/>
        </w:rPr>
        <w:t>Study</w:t>
      </w:r>
      <w:r w:rsidR="00A62438">
        <w:rPr>
          <w:i/>
          <w:sz w:val="20"/>
          <w:szCs w:val="20"/>
          <w:lang w:bidi="ar-SA"/>
        </w:rPr>
        <w:t xml:space="preserve"> </w:t>
      </w:r>
      <w:r w:rsidRPr="00BC3F0D">
        <w:rPr>
          <w:sz w:val="20"/>
          <w:szCs w:val="20"/>
          <w:lang w:bidi="ar-SA"/>
        </w:rPr>
        <w:t>.</w:t>
      </w:r>
      <w:proofErr w:type="gramEnd"/>
      <w:r w:rsidR="009A50BF">
        <w:fldChar w:fldCharType="begin"/>
      </w:r>
      <w:r w:rsidR="009A50BF">
        <w:instrText xml:space="preserve"> HYPERLINK "http://www.foodstandards.gov.au/publications/Pages/21staustraliantotald2963.aspx" </w:instrText>
      </w:r>
      <w:r w:rsidR="009A50BF">
        <w:fldChar w:fldCharType="separate"/>
      </w:r>
      <w:r w:rsidRPr="00BC3F0D">
        <w:rPr>
          <w:sz w:val="20"/>
          <w:szCs w:val="20"/>
          <w:u w:val="single"/>
          <w:lang w:bidi="ar-SA"/>
        </w:rPr>
        <w:t>http://www.foodstandards.gov.au/publications/Pages/21staustraliantotald2963.aspx</w:t>
      </w:r>
      <w:r w:rsidR="009A50BF">
        <w:rPr>
          <w:sz w:val="20"/>
          <w:szCs w:val="20"/>
          <w:u w:val="single"/>
          <w:lang w:bidi="ar-SA"/>
        </w:rPr>
        <w:fldChar w:fldCharType="end"/>
      </w:r>
      <w:r w:rsidRPr="00BC3F0D">
        <w:rPr>
          <w:sz w:val="20"/>
          <w:szCs w:val="20"/>
          <w:lang w:bidi="ar-SA"/>
        </w:rPr>
        <w:t xml:space="preserve">. </w:t>
      </w:r>
      <w:proofErr w:type="gramStart"/>
      <w:r w:rsidRPr="00BC3F0D">
        <w:rPr>
          <w:sz w:val="20"/>
          <w:szCs w:val="20"/>
          <w:lang w:bidi="ar-SA"/>
        </w:rPr>
        <w:t>Accessed July 2013.</w:t>
      </w:r>
      <w:proofErr w:type="gramEnd"/>
    </w:p>
    <w:p w14:paraId="28FBA3D1" w14:textId="77777777" w:rsidR="00833554" w:rsidRPr="00BC3F0D" w:rsidRDefault="00833554" w:rsidP="00BA5281">
      <w:pPr>
        <w:widowControl/>
        <w:rPr>
          <w:rFonts w:cs="Arial"/>
          <w:sz w:val="20"/>
          <w:szCs w:val="20"/>
          <w:lang w:bidi="ar-SA"/>
        </w:rPr>
      </w:pPr>
    </w:p>
    <w:p w14:paraId="3382CFC0" w14:textId="503AC12C" w:rsidR="00BA5281" w:rsidRPr="00BC3F0D" w:rsidRDefault="00BA5281" w:rsidP="00BA5281">
      <w:pPr>
        <w:widowControl/>
        <w:rPr>
          <w:rFonts w:cs="Arial"/>
          <w:sz w:val="20"/>
          <w:szCs w:val="20"/>
          <w:lang w:bidi="ar-SA"/>
        </w:rPr>
      </w:pPr>
      <w:proofErr w:type="spellStart"/>
      <w:proofErr w:type="gramStart"/>
      <w:r w:rsidRPr="00BC3F0D">
        <w:rPr>
          <w:rFonts w:cs="Arial"/>
          <w:sz w:val="20"/>
          <w:szCs w:val="20"/>
          <w:lang w:bidi="ar-SA"/>
        </w:rPr>
        <w:t>Cressey</w:t>
      </w:r>
      <w:proofErr w:type="spellEnd"/>
      <w:r w:rsidRPr="00BC3F0D">
        <w:rPr>
          <w:rFonts w:cs="Arial"/>
          <w:sz w:val="20"/>
          <w:szCs w:val="20"/>
          <w:lang w:bidi="ar-SA"/>
        </w:rPr>
        <w:t xml:space="preserve"> P and Jones S (2009).</w:t>
      </w:r>
      <w:proofErr w:type="gramEnd"/>
      <w:r w:rsidRPr="00BC3F0D">
        <w:rPr>
          <w:rFonts w:cs="Arial"/>
          <w:sz w:val="20"/>
          <w:szCs w:val="20"/>
          <w:lang w:bidi="ar-SA"/>
        </w:rPr>
        <w:t xml:space="preserve"> </w:t>
      </w:r>
      <w:proofErr w:type="gramStart"/>
      <w:r w:rsidRPr="00BC3F0D">
        <w:rPr>
          <w:rFonts w:cs="Arial"/>
          <w:sz w:val="20"/>
          <w:szCs w:val="20"/>
          <w:lang w:bidi="ar-SA"/>
        </w:rPr>
        <w:t>Levels of preservatives (</w:t>
      </w:r>
      <w:proofErr w:type="spellStart"/>
      <w:r w:rsidRPr="00BC3F0D">
        <w:rPr>
          <w:rFonts w:cs="Arial"/>
          <w:sz w:val="20"/>
          <w:szCs w:val="20"/>
          <w:lang w:bidi="ar-SA"/>
        </w:rPr>
        <w:t>sulfite</w:t>
      </w:r>
      <w:proofErr w:type="spellEnd"/>
      <w:r w:rsidRPr="00BC3F0D">
        <w:rPr>
          <w:rFonts w:cs="Arial"/>
          <w:sz w:val="20"/>
          <w:szCs w:val="20"/>
          <w:lang w:bidi="ar-SA"/>
        </w:rPr>
        <w:t>, sorbate and benzoate) in New Zealand foods and estimated dietary exposure.</w:t>
      </w:r>
      <w:proofErr w:type="gramEnd"/>
      <w:r w:rsidRPr="00BC3F0D">
        <w:rPr>
          <w:rFonts w:cs="Arial"/>
          <w:sz w:val="20"/>
          <w:szCs w:val="20"/>
          <w:lang w:bidi="ar-SA"/>
        </w:rPr>
        <w:t xml:space="preserve"> </w:t>
      </w:r>
      <w:r w:rsidRPr="00BC3F0D">
        <w:rPr>
          <w:rFonts w:cs="Arial"/>
          <w:i/>
          <w:sz w:val="20"/>
          <w:szCs w:val="20"/>
          <w:lang w:bidi="ar-SA"/>
        </w:rPr>
        <w:t xml:space="preserve">Food </w:t>
      </w:r>
      <w:proofErr w:type="spellStart"/>
      <w:r w:rsidRPr="00BC3F0D">
        <w:rPr>
          <w:rFonts w:cs="Arial"/>
          <w:i/>
          <w:sz w:val="20"/>
          <w:szCs w:val="20"/>
          <w:lang w:bidi="ar-SA"/>
        </w:rPr>
        <w:t>Addit</w:t>
      </w:r>
      <w:proofErr w:type="spellEnd"/>
      <w:r w:rsidRPr="00BC3F0D">
        <w:rPr>
          <w:rFonts w:cs="Arial"/>
          <w:i/>
          <w:sz w:val="20"/>
          <w:szCs w:val="20"/>
          <w:lang w:bidi="ar-SA"/>
        </w:rPr>
        <w:t xml:space="preserve"> </w:t>
      </w:r>
      <w:proofErr w:type="spellStart"/>
      <w:r w:rsidRPr="00BC3F0D">
        <w:rPr>
          <w:rFonts w:cs="Arial"/>
          <w:i/>
          <w:sz w:val="20"/>
          <w:szCs w:val="20"/>
          <w:lang w:bidi="ar-SA"/>
        </w:rPr>
        <w:t>Contam</w:t>
      </w:r>
      <w:proofErr w:type="spellEnd"/>
      <w:r w:rsidRPr="00BC3F0D">
        <w:rPr>
          <w:rFonts w:cs="Arial"/>
          <w:sz w:val="20"/>
          <w:szCs w:val="20"/>
          <w:lang w:bidi="ar-SA"/>
        </w:rPr>
        <w:t xml:space="preserve"> </w:t>
      </w:r>
      <w:r w:rsidRPr="00BC3F0D">
        <w:rPr>
          <w:rFonts w:cs="Arial"/>
          <w:b/>
          <w:sz w:val="20"/>
          <w:szCs w:val="20"/>
          <w:lang w:bidi="ar-SA"/>
        </w:rPr>
        <w:t>26</w:t>
      </w:r>
      <w:r w:rsidRPr="00BC3F0D">
        <w:rPr>
          <w:rFonts w:cs="Arial"/>
          <w:sz w:val="20"/>
          <w:szCs w:val="20"/>
          <w:lang w:bidi="ar-SA"/>
        </w:rPr>
        <w:t>:614-613.</w:t>
      </w:r>
    </w:p>
    <w:p w14:paraId="3C68D643" w14:textId="77777777" w:rsidR="00BA5281" w:rsidRPr="00BC3F0D" w:rsidRDefault="00BA5281" w:rsidP="00BA5281">
      <w:pPr>
        <w:widowControl/>
        <w:rPr>
          <w:rFonts w:cs="Arial"/>
          <w:sz w:val="20"/>
          <w:szCs w:val="20"/>
          <w:lang w:bidi="ar-SA"/>
        </w:rPr>
      </w:pPr>
    </w:p>
    <w:p w14:paraId="2616CD62" w14:textId="364B8106" w:rsidR="000179D3" w:rsidRPr="00BC3F0D" w:rsidRDefault="000179D3" w:rsidP="000179D3">
      <w:pPr>
        <w:widowControl/>
        <w:rPr>
          <w:sz w:val="20"/>
          <w:szCs w:val="20"/>
          <w:lang w:bidi="ar-SA"/>
        </w:rPr>
      </w:pPr>
      <w:proofErr w:type="spellStart"/>
      <w:proofErr w:type="gramStart"/>
      <w:r w:rsidRPr="00BC3F0D">
        <w:rPr>
          <w:sz w:val="20"/>
          <w:szCs w:val="20"/>
          <w:lang w:bidi="ar-SA"/>
        </w:rPr>
        <w:t>Til</w:t>
      </w:r>
      <w:proofErr w:type="spellEnd"/>
      <w:r w:rsidRPr="00BC3F0D">
        <w:rPr>
          <w:sz w:val="20"/>
          <w:szCs w:val="20"/>
          <w:lang w:bidi="ar-SA"/>
        </w:rPr>
        <w:t xml:space="preserve"> HP, </w:t>
      </w:r>
      <w:proofErr w:type="spellStart"/>
      <w:r w:rsidRPr="00BC3F0D">
        <w:rPr>
          <w:sz w:val="20"/>
          <w:szCs w:val="20"/>
          <w:lang w:bidi="ar-SA"/>
        </w:rPr>
        <w:t>Feron</w:t>
      </w:r>
      <w:proofErr w:type="spellEnd"/>
      <w:r w:rsidRPr="00BC3F0D">
        <w:rPr>
          <w:sz w:val="20"/>
          <w:szCs w:val="20"/>
          <w:lang w:bidi="ar-SA"/>
        </w:rPr>
        <w:t xml:space="preserve"> VJ and de Groot AP (</w:t>
      </w:r>
      <w:r w:rsidR="000F6C4B" w:rsidRPr="00BC3F0D">
        <w:rPr>
          <w:sz w:val="20"/>
          <w:szCs w:val="20"/>
          <w:lang w:bidi="ar-SA"/>
        </w:rPr>
        <w:t>1972</w:t>
      </w:r>
      <w:r w:rsidRPr="00BC3F0D">
        <w:rPr>
          <w:sz w:val="20"/>
          <w:szCs w:val="20"/>
          <w:lang w:bidi="ar-SA"/>
        </w:rPr>
        <w:t>).</w:t>
      </w:r>
      <w:proofErr w:type="gramEnd"/>
      <w:r w:rsidRPr="00BC3F0D">
        <w:rPr>
          <w:sz w:val="20"/>
          <w:szCs w:val="20"/>
          <w:lang w:bidi="ar-SA"/>
        </w:rPr>
        <w:t xml:space="preserve"> </w:t>
      </w:r>
      <w:proofErr w:type="gramStart"/>
      <w:r w:rsidRPr="00BC3F0D">
        <w:rPr>
          <w:sz w:val="20"/>
          <w:szCs w:val="20"/>
          <w:lang w:bidi="ar-SA"/>
        </w:rPr>
        <w:t>The toxicity of sulphite.</w:t>
      </w:r>
      <w:proofErr w:type="gramEnd"/>
      <w:r w:rsidRPr="00BC3F0D">
        <w:rPr>
          <w:sz w:val="20"/>
          <w:szCs w:val="20"/>
          <w:lang w:bidi="ar-SA"/>
        </w:rPr>
        <w:t xml:space="preserve"> I. Long-term feeding and </w:t>
      </w:r>
      <w:proofErr w:type="spellStart"/>
      <w:r w:rsidRPr="00BC3F0D">
        <w:rPr>
          <w:sz w:val="20"/>
          <w:szCs w:val="20"/>
          <w:lang w:bidi="ar-SA"/>
        </w:rPr>
        <w:t>multigeneration</w:t>
      </w:r>
      <w:proofErr w:type="spellEnd"/>
      <w:r w:rsidRPr="00BC3F0D">
        <w:rPr>
          <w:sz w:val="20"/>
          <w:szCs w:val="20"/>
          <w:lang w:bidi="ar-SA"/>
        </w:rPr>
        <w:t xml:space="preserve"> studies in rats. </w:t>
      </w:r>
      <w:r w:rsidRPr="00BC3F0D">
        <w:rPr>
          <w:i/>
          <w:sz w:val="20"/>
          <w:szCs w:val="20"/>
          <w:lang w:bidi="ar-SA"/>
        </w:rPr>
        <w:t>Food and Cosmetics Toxicology</w:t>
      </w:r>
      <w:r w:rsidRPr="00BC3F0D">
        <w:rPr>
          <w:sz w:val="20"/>
          <w:szCs w:val="20"/>
          <w:lang w:bidi="ar-SA"/>
        </w:rPr>
        <w:t xml:space="preserve"> </w:t>
      </w:r>
      <w:r w:rsidRPr="00BC3F0D">
        <w:rPr>
          <w:b/>
          <w:sz w:val="20"/>
          <w:szCs w:val="20"/>
          <w:lang w:bidi="ar-SA"/>
        </w:rPr>
        <w:t>10</w:t>
      </w:r>
      <w:r w:rsidRPr="00BC3F0D">
        <w:rPr>
          <w:sz w:val="20"/>
          <w:szCs w:val="20"/>
          <w:lang w:bidi="ar-SA"/>
        </w:rPr>
        <w:t>: 291-310</w:t>
      </w:r>
    </w:p>
    <w:p w14:paraId="72C857E8" w14:textId="77777777" w:rsidR="000179D3" w:rsidRPr="009417C5" w:rsidRDefault="000179D3" w:rsidP="000179D3">
      <w:pPr>
        <w:widowControl/>
        <w:rPr>
          <w:sz w:val="20"/>
          <w:szCs w:val="20"/>
          <w:lang w:bidi="ar-SA"/>
        </w:rPr>
      </w:pPr>
    </w:p>
    <w:p w14:paraId="11A9AE13" w14:textId="00044BE4" w:rsidR="00C43C8B" w:rsidRPr="008811FA" w:rsidRDefault="00C43C8B" w:rsidP="00C43C8B">
      <w:pPr>
        <w:widowControl/>
        <w:rPr>
          <w:sz w:val="20"/>
          <w:szCs w:val="20"/>
          <w:lang w:bidi="ar-SA"/>
        </w:rPr>
      </w:pPr>
      <w:proofErr w:type="gramStart"/>
      <w:r w:rsidRPr="008811FA">
        <w:rPr>
          <w:sz w:val="20"/>
          <w:szCs w:val="20"/>
          <w:lang w:bidi="ar-SA"/>
        </w:rPr>
        <w:lastRenderedPageBreak/>
        <w:t>Dalefield</w:t>
      </w:r>
      <w:r w:rsidRPr="008811FA">
        <w:rPr>
          <w:sz w:val="20"/>
          <w:szCs w:val="20"/>
          <w:vertAlign w:val="superscript"/>
          <w:lang w:bidi="ar-SA"/>
        </w:rPr>
        <w:t xml:space="preserve"> </w:t>
      </w:r>
      <w:r w:rsidRPr="008811FA">
        <w:rPr>
          <w:sz w:val="20"/>
          <w:szCs w:val="20"/>
          <w:lang w:bidi="ar-SA"/>
        </w:rPr>
        <w:t>R</w:t>
      </w:r>
      <w:r w:rsidR="00A62438">
        <w:rPr>
          <w:sz w:val="20"/>
          <w:szCs w:val="20"/>
          <w:lang w:bidi="ar-SA"/>
        </w:rPr>
        <w:t xml:space="preserve"> and</w:t>
      </w:r>
      <w:r w:rsidRPr="008811FA">
        <w:rPr>
          <w:sz w:val="20"/>
          <w:szCs w:val="20"/>
          <w:lang w:bidi="ar-SA"/>
        </w:rPr>
        <w:t xml:space="preserve"> Mueller U</w:t>
      </w:r>
      <w:r w:rsidR="00292DE7" w:rsidRPr="008811FA">
        <w:rPr>
          <w:sz w:val="20"/>
          <w:szCs w:val="20"/>
          <w:lang w:bidi="ar-SA"/>
        </w:rPr>
        <w:t xml:space="preserve"> (2016)</w:t>
      </w:r>
      <w:r w:rsidRPr="008811FA">
        <w:rPr>
          <w:sz w:val="20"/>
          <w:szCs w:val="20"/>
          <w:lang w:bidi="ar-SA"/>
        </w:rPr>
        <w:t>.</w:t>
      </w:r>
      <w:proofErr w:type="gramEnd"/>
      <w:r w:rsidRPr="008811FA">
        <w:rPr>
          <w:sz w:val="20"/>
          <w:szCs w:val="20"/>
          <w:lang w:bidi="ar-SA"/>
        </w:rPr>
        <w:t xml:space="preserve"> Gastric Mucosal Irritation following Sodium </w:t>
      </w:r>
      <w:proofErr w:type="spellStart"/>
      <w:r w:rsidRPr="008811FA">
        <w:rPr>
          <w:sz w:val="20"/>
          <w:szCs w:val="20"/>
          <w:lang w:bidi="ar-SA"/>
        </w:rPr>
        <w:t>Metabisulphite</w:t>
      </w:r>
      <w:proofErr w:type="spellEnd"/>
      <w:r w:rsidRPr="008811FA">
        <w:rPr>
          <w:sz w:val="20"/>
          <w:szCs w:val="20"/>
          <w:lang w:bidi="ar-SA"/>
        </w:rPr>
        <w:t xml:space="preserve"> Exposure: A Reproducible Effect</w:t>
      </w:r>
      <w:proofErr w:type="gramStart"/>
      <w:r w:rsidRPr="008811FA">
        <w:rPr>
          <w:sz w:val="20"/>
          <w:szCs w:val="20"/>
          <w:lang w:bidi="ar-SA"/>
        </w:rPr>
        <w:t>?.</w:t>
      </w:r>
      <w:proofErr w:type="gramEnd"/>
      <w:r w:rsidR="00292DE7" w:rsidRPr="008811FA">
        <w:rPr>
          <w:sz w:val="20"/>
          <w:szCs w:val="20"/>
          <w:lang w:bidi="ar-SA"/>
        </w:rPr>
        <w:t xml:space="preserve"> </w:t>
      </w:r>
      <w:proofErr w:type="gramStart"/>
      <w:r w:rsidR="00292DE7" w:rsidRPr="008811FA">
        <w:rPr>
          <w:i/>
          <w:sz w:val="20"/>
          <w:szCs w:val="20"/>
          <w:lang w:bidi="ar-SA"/>
        </w:rPr>
        <w:t>Submitted.</w:t>
      </w:r>
      <w:proofErr w:type="gramEnd"/>
    </w:p>
    <w:p w14:paraId="23A16881" w14:textId="77777777" w:rsidR="00C43C8B" w:rsidRPr="008811FA" w:rsidRDefault="00C43C8B" w:rsidP="000179D3">
      <w:pPr>
        <w:widowControl/>
        <w:rPr>
          <w:sz w:val="20"/>
          <w:szCs w:val="20"/>
          <w:lang w:bidi="ar-SA"/>
        </w:rPr>
      </w:pPr>
    </w:p>
    <w:p w14:paraId="23B14566" w14:textId="3C266C26" w:rsidR="00C43C8B" w:rsidRPr="008811FA" w:rsidRDefault="00C43C8B" w:rsidP="00C43C8B">
      <w:pPr>
        <w:widowControl/>
        <w:rPr>
          <w:sz w:val="20"/>
          <w:szCs w:val="20"/>
          <w:lang w:val="en-AU" w:bidi="ar-SA"/>
        </w:rPr>
      </w:pPr>
      <w:proofErr w:type="spellStart"/>
      <w:proofErr w:type="gramStart"/>
      <w:r w:rsidRPr="008811FA">
        <w:rPr>
          <w:sz w:val="20"/>
          <w:szCs w:val="20"/>
          <w:lang w:val="en-AU" w:bidi="ar-SA"/>
        </w:rPr>
        <w:t>Til</w:t>
      </w:r>
      <w:proofErr w:type="spellEnd"/>
      <w:r w:rsidRPr="008811FA">
        <w:rPr>
          <w:sz w:val="20"/>
          <w:szCs w:val="20"/>
          <w:lang w:val="en-AU" w:bidi="ar-SA"/>
        </w:rPr>
        <w:t xml:space="preserve"> HP </w:t>
      </w:r>
      <w:r w:rsidR="003C328E" w:rsidRPr="008811FA">
        <w:rPr>
          <w:sz w:val="20"/>
          <w:szCs w:val="20"/>
          <w:lang w:val="en-AU" w:bidi="ar-SA"/>
        </w:rPr>
        <w:t xml:space="preserve">and </w:t>
      </w:r>
      <w:proofErr w:type="spellStart"/>
      <w:r w:rsidR="003C328E" w:rsidRPr="008811FA">
        <w:rPr>
          <w:sz w:val="20"/>
          <w:szCs w:val="20"/>
          <w:lang w:val="en-AU" w:bidi="ar-SA"/>
        </w:rPr>
        <w:t>Feron</w:t>
      </w:r>
      <w:proofErr w:type="spellEnd"/>
      <w:r w:rsidRPr="008811FA">
        <w:rPr>
          <w:sz w:val="20"/>
          <w:szCs w:val="20"/>
          <w:lang w:val="en-AU" w:bidi="ar-SA"/>
        </w:rPr>
        <w:t xml:space="preserve"> </w:t>
      </w:r>
      <w:r w:rsidR="009417C5">
        <w:rPr>
          <w:sz w:val="20"/>
          <w:szCs w:val="20"/>
          <w:lang w:val="en-AU" w:bidi="ar-SA"/>
        </w:rPr>
        <w:t xml:space="preserve">VJ </w:t>
      </w:r>
      <w:r w:rsidRPr="008811FA">
        <w:rPr>
          <w:sz w:val="20"/>
          <w:szCs w:val="20"/>
          <w:lang w:val="en-AU" w:bidi="ar-SA"/>
        </w:rPr>
        <w:t>(1992).</w:t>
      </w:r>
      <w:proofErr w:type="gramEnd"/>
      <w:r w:rsidRPr="008811FA">
        <w:rPr>
          <w:sz w:val="20"/>
          <w:szCs w:val="20"/>
          <w:lang w:val="en-AU" w:bidi="ar-SA"/>
        </w:rPr>
        <w:t xml:space="preserve"> </w:t>
      </w:r>
      <w:proofErr w:type="gramStart"/>
      <w:r w:rsidRPr="008811FA">
        <w:rPr>
          <w:sz w:val="20"/>
          <w:szCs w:val="20"/>
          <w:lang w:val="en-AU" w:bidi="ar-SA"/>
        </w:rPr>
        <w:t xml:space="preserve">"Toxicology of </w:t>
      </w:r>
      <w:proofErr w:type="spellStart"/>
      <w:r w:rsidRPr="008811FA">
        <w:rPr>
          <w:sz w:val="20"/>
          <w:szCs w:val="20"/>
          <w:lang w:val="en-AU" w:bidi="ar-SA"/>
        </w:rPr>
        <w:t>sulphiting</w:t>
      </w:r>
      <w:proofErr w:type="spellEnd"/>
      <w:r w:rsidRPr="008811FA">
        <w:rPr>
          <w:sz w:val="20"/>
          <w:szCs w:val="20"/>
          <w:lang w:val="en-AU" w:bidi="ar-SA"/>
        </w:rPr>
        <w:t xml:space="preserve"> agents.</w:t>
      </w:r>
      <w:proofErr w:type="gramEnd"/>
      <w:r w:rsidRPr="008811FA">
        <w:rPr>
          <w:sz w:val="20"/>
          <w:szCs w:val="20"/>
          <w:lang w:val="en-AU" w:bidi="ar-SA"/>
        </w:rPr>
        <w:t xml:space="preserve"> I: Animal studies." Food </w:t>
      </w:r>
      <w:proofErr w:type="spellStart"/>
      <w:r w:rsidRPr="008811FA">
        <w:rPr>
          <w:sz w:val="20"/>
          <w:szCs w:val="20"/>
          <w:lang w:val="en-AU" w:bidi="ar-SA"/>
        </w:rPr>
        <w:t>Addit</w:t>
      </w:r>
      <w:proofErr w:type="spellEnd"/>
      <w:r w:rsidRPr="008811FA">
        <w:rPr>
          <w:sz w:val="20"/>
          <w:szCs w:val="20"/>
          <w:lang w:val="en-AU" w:bidi="ar-SA"/>
        </w:rPr>
        <w:t xml:space="preserve"> </w:t>
      </w:r>
      <w:proofErr w:type="spellStart"/>
      <w:r w:rsidRPr="008811FA">
        <w:rPr>
          <w:sz w:val="20"/>
          <w:szCs w:val="20"/>
          <w:lang w:val="en-AU" w:bidi="ar-SA"/>
        </w:rPr>
        <w:t>Contam</w:t>
      </w:r>
      <w:proofErr w:type="spellEnd"/>
      <w:r w:rsidRPr="008811FA">
        <w:rPr>
          <w:sz w:val="20"/>
          <w:szCs w:val="20"/>
          <w:lang w:val="en-AU" w:bidi="ar-SA"/>
        </w:rPr>
        <w:t xml:space="preserve"> 9(5): 587-595.</w:t>
      </w:r>
    </w:p>
    <w:p w14:paraId="748877F8" w14:textId="77777777" w:rsidR="00C43C8B" w:rsidRPr="008811FA" w:rsidRDefault="00C43C8B" w:rsidP="000179D3">
      <w:pPr>
        <w:widowControl/>
        <w:rPr>
          <w:sz w:val="20"/>
          <w:szCs w:val="20"/>
          <w:lang w:bidi="ar-SA"/>
        </w:rPr>
      </w:pPr>
    </w:p>
    <w:p w14:paraId="1EAE0AFE" w14:textId="7AAE85DA" w:rsidR="000179D3" w:rsidRPr="008811FA" w:rsidRDefault="000179D3" w:rsidP="000179D3">
      <w:pPr>
        <w:widowControl/>
        <w:rPr>
          <w:sz w:val="20"/>
          <w:szCs w:val="20"/>
          <w:u w:val="single"/>
          <w:lang w:bidi="ar-SA"/>
        </w:rPr>
      </w:pPr>
      <w:proofErr w:type="gramStart"/>
      <w:r w:rsidRPr="008811FA">
        <w:rPr>
          <w:sz w:val="20"/>
          <w:szCs w:val="20"/>
          <w:lang w:bidi="ar-SA"/>
        </w:rPr>
        <w:t>FSANZ (2008).</w:t>
      </w:r>
      <w:proofErr w:type="gramEnd"/>
      <w:r w:rsidRPr="008811FA">
        <w:rPr>
          <w:sz w:val="20"/>
          <w:szCs w:val="20"/>
          <w:lang w:bidi="ar-SA"/>
        </w:rPr>
        <w:t xml:space="preserve"> </w:t>
      </w:r>
      <w:r w:rsidRPr="008811FA">
        <w:rPr>
          <w:i/>
          <w:sz w:val="20"/>
          <w:szCs w:val="20"/>
          <w:lang w:bidi="ar-SA"/>
        </w:rPr>
        <w:t xml:space="preserve">Survey shows </w:t>
      </w:r>
      <w:proofErr w:type="gramStart"/>
      <w:r w:rsidRPr="008811FA">
        <w:rPr>
          <w:i/>
          <w:sz w:val="20"/>
          <w:szCs w:val="20"/>
          <w:lang w:bidi="ar-SA"/>
        </w:rPr>
        <w:t>levels of sulphites in dried apricots has</w:t>
      </w:r>
      <w:proofErr w:type="gramEnd"/>
      <w:r w:rsidRPr="008811FA">
        <w:rPr>
          <w:i/>
          <w:sz w:val="20"/>
          <w:szCs w:val="20"/>
          <w:lang w:bidi="ar-SA"/>
        </w:rPr>
        <w:t xml:space="preserve"> decreased since 2003</w:t>
      </w:r>
      <w:r w:rsidRPr="008811FA">
        <w:rPr>
          <w:sz w:val="20"/>
          <w:szCs w:val="20"/>
          <w:lang w:bidi="ar-SA"/>
        </w:rPr>
        <w:t xml:space="preserve">. Food Surveillance News, </w:t>
      </w:r>
      <w:proofErr w:type="gramStart"/>
      <w:r w:rsidRPr="008811FA">
        <w:rPr>
          <w:sz w:val="20"/>
          <w:szCs w:val="20"/>
          <w:lang w:bidi="ar-SA"/>
        </w:rPr>
        <w:t>Spring</w:t>
      </w:r>
      <w:proofErr w:type="gramEnd"/>
      <w:r w:rsidRPr="008811FA">
        <w:rPr>
          <w:sz w:val="20"/>
          <w:szCs w:val="20"/>
          <w:lang w:bidi="ar-SA"/>
        </w:rPr>
        <w:t xml:space="preserve"> 2008. </w:t>
      </w:r>
      <w:hyperlink r:id="rId17" w:history="1">
        <w:r w:rsidRPr="008811FA">
          <w:rPr>
            <w:sz w:val="20"/>
            <w:szCs w:val="20"/>
            <w:u w:val="single"/>
            <w:lang w:bidi="ar-SA"/>
          </w:rPr>
          <w:t>http://www.foodstandards.gov.au/science/monitoring/surveillance/Pages/news/spring2008.aspx</w:t>
        </w:r>
      </w:hyperlink>
      <w:r w:rsidRPr="008811FA">
        <w:rPr>
          <w:sz w:val="20"/>
          <w:szCs w:val="20"/>
          <w:lang w:bidi="ar-SA"/>
        </w:rPr>
        <w:t>. Accessed July 2013</w:t>
      </w:r>
    </w:p>
    <w:p w14:paraId="38F08388" w14:textId="77777777" w:rsidR="000179D3" w:rsidRPr="008811FA" w:rsidRDefault="000179D3" w:rsidP="00BA5281">
      <w:pPr>
        <w:widowControl/>
        <w:rPr>
          <w:rFonts w:cs="Arial"/>
          <w:sz w:val="20"/>
          <w:szCs w:val="20"/>
          <w:lang w:bidi="ar-SA"/>
        </w:rPr>
      </w:pPr>
    </w:p>
    <w:p w14:paraId="1EC99C66" w14:textId="4D771D99" w:rsidR="00924699" w:rsidRDefault="00BA5281" w:rsidP="00C95D29">
      <w:pPr>
        <w:widowControl/>
        <w:rPr>
          <w:rFonts w:cs="Arial"/>
          <w:bCs/>
          <w:sz w:val="20"/>
          <w:szCs w:val="20"/>
          <w:lang w:val="en" w:bidi="ar-SA"/>
        </w:rPr>
      </w:pPr>
      <w:r w:rsidRPr="008811FA">
        <w:rPr>
          <w:sz w:val="20"/>
          <w:szCs w:val="20"/>
          <w:lang w:bidi="ar-SA"/>
        </w:rPr>
        <w:t xml:space="preserve">EFSA (2016) </w:t>
      </w:r>
      <w:r w:rsidRPr="008811FA">
        <w:rPr>
          <w:rFonts w:cs="Arial"/>
          <w:bCs/>
          <w:sz w:val="20"/>
          <w:szCs w:val="20"/>
          <w:lang w:val="en" w:bidi="ar-SA"/>
        </w:rPr>
        <w:t xml:space="preserve">Scientific Opinion on the re-evaluation of sulfur dioxide (E 220), sodium sulfite (E 221), sodium bisulfite (E 222), sodium </w:t>
      </w:r>
      <w:proofErr w:type="spellStart"/>
      <w:r w:rsidRPr="008811FA">
        <w:rPr>
          <w:rFonts w:cs="Arial"/>
          <w:bCs/>
          <w:sz w:val="20"/>
          <w:szCs w:val="20"/>
          <w:lang w:val="en" w:bidi="ar-SA"/>
        </w:rPr>
        <w:t>metabisulfite</w:t>
      </w:r>
      <w:proofErr w:type="spellEnd"/>
      <w:r w:rsidRPr="008811FA">
        <w:rPr>
          <w:rFonts w:cs="Arial"/>
          <w:bCs/>
          <w:sz w:val="20"/>
          <w:szCs w:val="20"/>
          <w:lang w:val="en" w:bidi="ar-SA"/>
        </w:rPr>
        <w:t xml:space="preserve"> (E 223), potassium </w:t>
      </w:r>
      <w:proofErr w:type="spellStart"/>
      <w:r w:rsidRPr="008811FA">
        <w:rPr>
          <w:rFonts w:cs="Arial"/>
          <w:bCs/>
          <w:sz w:val="20"/>
          <w:szCs w:val="20"/>
          <w:lang w:val="en" w:bidi="ar-SA"/>
        </w:rPr>
        <w:t>metabisulfite</w:t>
      </w:r>
      <w:proofErr w:type="spellEnd"/>
      <w:r w:rsidRPr="008811FA">
        <w:rPr>
          <w:rFonts w:cs="Arial"/>
          <w:bCs/>
          <w:sz w:val="20"/>
          <w:szCs w:val="20"/>
          <w:lang w:val="en" w:bidi="ar-SA"/>
        </w:rPr>
        <w:t xml:space="preserve"> (E 224), calcium sulfite (E 226), calcium bisulfite (E 227) and potassium bisulfite (E 228) as food additives. EFSA Journal 14(4): 4438</w:t>
      </w:r>
      <w:bookmarkEnd w:id="100"/>
      <w:bookmarkEnd w:id="101"/>
      <w:bookmarkEnd w:id="102"/>
      <w:bookmarkEnd w:id="103"/>
      <w:bookmarkEnd w:id="104"/>
    </w:p>
    <w:p w14:paraId="5796B011" w14:textId="49AC4826" w:rsidR="002C7606" w:rsidRDefault="002C7606" w:rsidP="00C95D29">
      <w:pPr>
        <w:widowControl/>
        <w:rPr>
          <w:rFonts w:eastAsia="Calibri"/>
          <w:lang w:bidi="ar-SA"/>
        </w:rPr>
      </w:pPr>
    </w:p>
    <w:p w14:paraId="6A59E80D" w14:textId="2DF1A180" w:rsidR="00AE7733" w:rsidRDefault="00AE7733" w:rsidP="002C7606">
      <w:pPr>
        <w:widowControl/>
        <w:rPr>
          <w:sz w:val="20"/>
          <w:lang w:val="en"/>
        </w:rPr>
      </w:pPr>
    </w:p>
    <w:sectPr w:rsidR="00AE7733" w:rsidSect="00A74885">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3236D" w14:textId="77777777" w:rsidR="000D6CA0" w:rsidRDefault="000D6CA0">
      <w:r>
        <w:separator/>
      </w:r>
    </w:p>
  </w:endnote>
  <w:endnote w:type="continuationSeparator" w:id="0">
    <w:p w14:paraId="7CA700DF" w14:textId="77777777" w:rsidR="000D6CA0" w:rsidRDefault="000D6CA0">
      <w:r>
        <w:continuationSeparator/>
      </w:r>
    </w:p>
  </w:endnote>
  <w:endnote w:type="continuationNotice" w:id="1">
    <w:p w14:paraId="088E532F" w14:textId="77777777" w:rsidR="000D6CA0" w:rsidRDefault="000D6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627E" w14:textId="77777777" w:rsidR="00F97F1C" w:rsidRDefault="00F97F1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EC522B" w14:textId="77777777" w:rsidR="00F97F1C" w:rsidRDefault="00F97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4A72C" w14:textId="77777777" w:rsidR="00F97F1C" w:rsidRDefault="00F97F1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6B1">
      <w:rPr>
        <w:rStyle w:val="PageNumber"/>
        <w:noProof/>
      </w:rPr>
      <w:t>i</w:t>
    </w:r>
    <w:r>
      <w:rPr>
        <w:rStyle w:val="PageNumber"/>
      </w:rPr>
      <w:fldChar w:fldCharType="end"/>
    </w:r>
  </w:p>
  <w:p w14:paraId="065E2658" w14:textId="77777777" w:rsidR="00F97F1C" w:rsidRDefault="00F97F1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708528"/>
      <w:docPartObj>
        <w:docPartGallery w:val="Page Numbers (Bottom of Page)"/>
        <w:docPartUnique/>
      </w:docPartObj>
    </w:sdtPr>
    <w:sdtEndPr>
      <w:rPr>
        <w:noProof/>
      </w:rPr>
    </w:sdtEndPr>
    <w:sdtContent>
      <w:p w14:paraId="5BD470F2" w14:textId="77777777" w:rsidR="00F97F1C" w:rsidRDefault="00F97F1C" w:rsidP="00B20F77">
        <w:pPr>
          <w:pStyle w:val="Footer"/>
          <w:jc w:val="center"/>
        </w:pPr>
        <w:r>
          <w:t xml:space="preserve"> PAGE   \* ME</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309051"/>
      <w:docPartObj>
        <w:docPartGallery w:val="Page Numbers (Bottom of Page)"/>
        <w:docPartUnique/>
      </w:docPartObj>
    </w:sdtPr>
    <w:sdtEndPr>
      <w:rPr>
        <w:noProof/>
      </w:rPr>
    </w:sdtEndPr>
    <w:sdtContent>
      <w:p w14:paraId="55AAFDA1" w14:textId="77777777" w:rsidR="00F97F1C" w:rsidRDefault="00F97F1C" w:rsidP="00B20F77">
        <w:pPr>
          <w:pStyle w:val="Footer"/>
          <w:jc w:val="center"/>
        </w:pPr>
        <w:r>
          <w:fldChar w:fldCharType="begin"/>
        </w:r>
        <w:r>
          <w:instrText xml:space="preserve"> PAGE   \* MERGEFORMAT </w:instrText>
        </w:r>
        <w:r>
          <w:fldChar w:fldCharType="separate"/>
        </w:r>
        <w:r w:rsidR="00F466B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D24FF" w14:textId="77777777" w:rsidR="000D6CA0" w:rsidRDefault="000D6CA0">
      <w:r>
        <w:separator/>
      </w:r>
    </w:p>
  </w:footnote>
  <w:footnote w:type="continuationSeparator" w:id="0">
    <w:p w14:paraId="02214ADA" w14:textId="77777777" w:rsidR="000D6CA0" w:rsidRDefault="000D6CA0">
      <w:r>
        <w:continuationSeparator/>
      </w:r>
    </w:p>
  </w:footnote>
  <w:footnote w:type="continuationNotice" w:id="1">
    <w:p w14:paraId="2D075067" w14:textId="77777777" w:rsidR="000D6CA0" w:rsidRDefault="000D6CA0"/>
  </w:footnote>
  <w:footnote w:id="2">
    <w:p w14:paraId="0B9577B5" w14:textId="154E6B62" w:rsidR="00F97F1C" w:rsidRPr="00D71DE6" w:rsidRDefault="00F97F1C">
      <w:pPr>
        <w:pStyle w:val="FootnoteText"/>
        <w:rPr>
          <w:lang w:val="en-AU"/>
        </w:rPr>
      </w:pPr>
      <w:r>
        <w:rPr>
          <w:rStyle w:val="FootnoteReference"/>
        </w:rPr>
        <w:footnoteRef/>
      </w:r>
      <w:r>
        <w:t xml:space="preserve"> </w:t>
      </w:r>
      <w:hyperlink r:id="rId1" w:history="1">
        <w:r w:rsidRPr="00A075BA">
          <w:rPr>
            <w:rStyle w:val="Hyperlink"/>
            <w:sz w:val="18"/>
            <w:szCs w:val="18"/>
          </w:rPr>
          <w:t>http://www.foodstandards.gov.au/publications/Pages/21staustraliantotald2963.aspx</w:t>
        </w:r>
      </w:hyperlink>
      <w:r>
        <w:rPr>
          <w:sz w:val="18"/>
          <w:szCs w:val="18"/>
        </w:rPr>
        <w:t xml:space="preserve"> </w:t>
      </w:r>
    </w:p>
  </w:footnote>
  <w:footnote w:id="3">
    <w:p w14:paraId="172822EA" w14:textId="2C534886" w:rsidR="00F97F1C" w:rsidRPr="00E91168" w:rsidRDefault="00F97F1C" w:rsidP="00466CAB">
      <w:pPr>
        <w:pStyle w:val="FootnoteText"/>
        <w:rPr>
          <w:sz w:val="18"/>
          <w:szCs w:val="18"/>
          <w:lang w:val="en-AU"/>
        </w:rPr>
      </w:pPr>
      <w:r w:rsidRPr="00E91168">
        <w:rPr>
          <w:rStyle w:val="FootnoteReference"/>
          <w:sz w:val="18"/>
          <w:szCs w:val="18"/>
        </w:rPr>
        <w:footnoteRef/>
      </w:r>
      <w:r w:rsidRPr="00E91168">
        <w:rPr>
          <w:sz w:val="18"/>
          <w:szCs w:val="18"/>
        </w:rPr>
        <w:t xml:space="preserve"> 21</w:t>
      </w:r>
      <w:r w:rsidRPr="00E91168">
        <w:rPr>
          <w:sz w:val="18"/>
          <w:szCs w:val="18"/>
          <w:vertAlign w:val="superscript"/>
        </w:rPr>
        <w:t>st</w:t>
      </w:r>
      <w:r w:rsidRPr="00E91168">
        <w:rPr>
          <w:sz w:val="18"/>
          <w:szCs w:val="18"/>
        </w:rPr>
        <w:t xml:space="preserve"> Australian Total Diet Study (ATDS) was published by FSANZ in August 2005.</w:t>
      </w:r>
    </w:p>
  </w:footnote>
  <w:footnote w:id="4">
    <w:p w14:paraId="1900815D" w14:textId="77777777" w:rsidR="00F97F1C" w:rsidRPr="009B4B00" w:rsidRDefault="00F97F1C" w:rsidP="009940CC">
      <w:pPr>
        <w:pStyle w:val="FootnoteText"/>
        <w:rPr>
          <w:sz w:val="18"/>
          <w:lang w:val="en-AU"/>
        </w:rPr>
      </w:pPr>
      <w:r w:rsidRPr="009B4B00">
        <w:rPr>
          <w:rStyle w:val="FootnoteReference"/>
          <w:sz w:val="18"/>
        </w:rPr>
        <w:footnoteRef/>
      </w:r>
      <w:r w:rsidRPr="009B4B00">
        <w:rPr>
          <w:sz w:val="18"/>
        </w:rPr>
        <w:t xml:space="preserve"> A numerical value reflecting the level of a chemical that can be ingested over a defined time period (e.g. a day, weekly, monthly or lifetime) without appreciable health risk. Most health based guidance values are expressed on a per kilogram bodyweight basis. </w:t>
      </w:r>
    </w:p>
  </w:footnote>
  <w:footnote w:id="5">
    <w:p w14:paraId="436F8462" w14:textId="77777777" w:rsidR="00F97F1C" w:rsidRPr="00D577ED" w:rsidRDefault="00F97F1C" w:rsidP="009940CC">
      <w:pPr>
        <w:pStyle w:val="FootnoteText"/>
        <w:rPr>
          <w:lang w:val="en-AU"/>
        </w:rPr>
      </w:pPr>
      <w:r w:rsidRPr="009B4B00">
        <w:rPr>
          <w:rStyle w:val="FootnoteReference"/>
          <w:sz w:val="18"/>
        </w:rPr>
        <w:footnoteRef/>
      </w:r>
      <w:r w:rsidRPr="009B4B00">
        <w:rPr>
          <w:sz w:val="18"/>
        </w:rPr>
        <w:t xml:space="preserve"> An acceptable daily intake (ADI) is an estimate of the amount of a substance in food or drinking-water, expressed on a body-weight basis that, on the basis of all the known facts at the time of the evaluation, can be ingested daily over a lifetime without appreciable health risk to the consumer. </w:t>
      </w:r>
    </w:p>
  </w:footnote>
  <w:footnote w:id="6">
    <w:p w14:paraId="098D8709" w14:textId="77777777" w:rsidR="00F97F1C" w:rsidRPr="009B4B00" w:rsidRDefault="00F97F1C" w:rsidP="000E1ED4">
      <w:pPr>
        <w:pStyle w:val="FootnoteText"/>
        <w:rPr>
          <w:sz w:val="18"/>
          <w:lang w:val="en-AU"/>
        </w:rPr>
      </w:pPr>
      <w:r w:rsidRPr="009B4B00">
        <w:rPr>
          <w:rStyle w:val="FootnoteReference"/>
          <w:sz w:val="18"/>
        </w:rPr>
        <w:footnoteRef/>
      </w:r>
      <w:r w:rsidRPr="009B4B00">
        <w:rPr>
          <w:sz w:val="18"/>
        </w:rPr>
        <w:t xml:space="preserve"> A dietary exposure assessment is the process of estimating how much of a food chemical a population, or population sub group, may be exposed to from the diet.</w:t>
      </w:r>
    </w:p>
  </w:footnote>
  <w:footnote w:id="7">
    <w:p w14:paraId="158229E1" w14:textId="77777777" w:rsidR="00F97F1C" w:rsidRPr="00BF3B3E" w:rsidRDefault="00F97F1C" w:rsidP="000E1ED4">
      <w:pPr>
        <w:pStyle w:val="FootnoteText"/>
        <w:rPr>
          <w:lang w:val="en-AU"/>
        </w:rPr>
      </w:pPr>
      <w:r w:rsidRPr="009B4B00">
        <w:rPr>
          <w:rStyle w:val="FootnoteReference"/>
          <w:sz w:val="18"/>
        </w:rPr>
        <w:footnoteRef/>
      </w:r>
      <w:r w:rsidRPr="009B4B00">
        <w:rPr>
          <w:sz w:val="18"/>
        </w:rPr>
        <w:t xml:space="preserve"> The dietary exposure assessment for sulphites and benzoates for New Zealand was commissioned by the then New Zealand Food Safety Authority, and published in 2009 by the </w:t>
      </w:r>
      <w:r w:rsidRPr="009B4B00">
        <w:rPr>
          <w:rFonts w:cs="Arial"/>
          <w:sz w:val="18"/>
        </w:rPr>
        <w:t>New Zealand Institute of Environmental Science and Research Ltd (ESR),</w:t>
      </w:r>
      <w:r w:rsidRPr="009B4B00">
        <w:rPr>
          <w:sz w:val="18"/>
        </w:rPr>
        <w:t xml:space="preserve"> and is summarised in this report.</w:t>
      </w:r>
    </w:p>
  </w:footnote>
  <w:footnote w:id="8">
    <w:p w14:paraId="47B704A3" w14:textId="22BDF6A9" w:rsidR="00F97F1C" w:rsidRPr="008C541E" w:rsidRDefault="00F97F1C" w:rsidP="009E5E00">
      <w:pPr>
        <w:pStyle w:val="FootnoteText"/>
        <w:rPr>
          <w:sz w:val="18"/>
          <w:szCs w:val="18"/>
          <w:lang w:val="en-AU"/>
        </w:rPr>
      </w:pPr>
      <w:r w:rsidRPr="007855A4">
        <w:rPr>
          <w:rStyle w:val="FootnoteReference"/>
          <w:sz w:val="18"/>
          <w:szCs w:val="18"/>
        </w:rPr>
        <w:footnoteRef/>
      </w:r>
      <w:r w:rsidRPr="007855A4">
        <w:rPr>
          <w:sz w:val="18"/>
          <w:szCs w:val="18"/>
        </w:rPr>
        <w:t xml:space="preserve"> </w:t>
      </w:r>
      <w:hyperlink r:id="rId2" w:history="1">
        <w:r w:rsidRPr="008C541E">
          <w:rPr>
            <w:rStyle w:val="Hyperlink"/>
            <w:sz w:val="18"/>
            <w:szCs w:val="18"/>
            <w:lang w:eastAsia="en-AU"/>
          </w:rPr>
          <w:t>http://www.codexalimentarius.net/gsfaonline/index.html?lang=en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2A5F8" w14:textId="77777777" w:rsidR="00D66FDE" w:rsidRDefault="00D66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CDDC7" w14:textId="77777777" w:rsidR="00D66FDE" w:rsidRDefault="00D66F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C7DA8" w14:textId="77777777" w:rsidR="00F97F1C" w:rsidRDefault="00F97F1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965D5B"/>
    <w:multiLevelType w:val="hybridMultilevel"/>
    <w:tmpl w:val="65B4120C"/>
    <w:lvl w:ilvl="0" w:tplc="0D4C9834">
      <w:start w:val="1"/>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D2328DC"/>
    <w:multiLevelType w:val="hybridMultilevel"/>
    <w:tmpl w:val="7DFC93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5C73466"/>
    <w:multiLevelType w:val="hybridMultilevel"/>
    <w:tmpl w:val="D8B2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62A26"/>
    <w:multiLevelType w:val="hybridMultilevel"/>
    <w:tmpl w:val="7672512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8527C7"/>
    <w:multiLevelType w:val="hybridMultilevel"/>
    <w:tmpl w:val="82B4AA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9EE6419"/>
    <w:multiLevelType w:val="hybridMultilevel"/>
    <w:tmpl w:val="D79A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DD1BE8"/>
    <w:multiLevelType w:val="hybridMultilevel"/>
    <w:tmpl w:val="1F32443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C2332A2"/>
    <w:multiLevelType w:val="hybridMultilevel"/>
    <w:tmpl w:val="7E9C8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C853DE9"/>
    <w:multiLevelType w:val="hybridMultilevel"/>
    <w:tmpl w:val="C1D4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336B54"/>
    <w:multiLevelType w:val="hybridMultilevel"/>
    <w:tmpl w:val="69626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FB3A41"/>
    <w:multiLevelType w:val="hybridMultilevel"/>
    <w:tmpl w:val="15828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353621C"/>
    <w:multiLevelType w:val="hybridMultilevel"/>
    <w:tmpl w:val="2B9E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880704"/>
    <w:multiLevelType w:val="hybridMultilevel"/>
    <w:tmpl w:val="ABAE9C5E"/>
    <w:lvl w:ilvl="0" w:tplc="08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nsid w:val="2DF728E9"/>
    <w:multiLevelType w:val="hybridMultilevel"/>
    <w:tmpl w:val="E67A8B00"/>
    <w:lvl w:ilvl="0" w:tplc="E0B2A49E">
      <w:start w:val="1"/>
      <w:numFmt w:val="lowerLetter"/>
      <w:lvlText w:val="(%1)"/>
      <w:lvlJc w:val="left"/>
      <w:pPr>
        <w:ind w:left="1691" w:hanging="84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31C17EC9"/>
    <w:multiLevelType w:val="hybridMultilevel"/>
    <w:tmpl w:val="63C86BAE"/>
    <w:lvl w:ilvl="0" w:tplc="9326AC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E53FB0"/>
    <w:multiLevelType w:val="hybridMultilevel"/>
    <w:tmpl w:val="B04C01BE"/>
    <w:lvl w:ilvl="0" w:tplc="B78853FE">
      <w:start w:val="1"/>
      <w:numFmt w:val="decimal"/>
      <w:lvlText w:val="%1)"/>
      <w:lvlJc w:val="left"/>
      <w:pPr>
        <w:ind w:left="2265" w:hanging="825"/>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9">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340723C6"/>
    <w:multiLevelType w:val="hybridMultilevel"/>
    <w:tmpl w:val="349498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5A1A3A"/>
    <w:multiLevelType w:val="hybridMultilevel"/>
    <w:tmpl w:val="600E6F3E"/>
    <w:lvl w:ilvl="0" w:tplc="705CFCA2">
      <w:start w:val="1"/>
      <w:numFmt w:val="bullet"/>
      <w:lvlText w:val=""/>
      <w:lvlJc w:val="left"/>
      <w:pPr>
        <w:tabs>
          <w:tab w:val="num" w:pos="567"/>
        </w:tabs>
        <w:ind w:left="567" w:hanging="567"/>
      </w:pPr>
      <w:rPr>
        <w:rFonts w:ascii="Symbol" w:hAnsi="Symbol" w:hint="default"/>
      </w:rPr>
    </w:lvl>
    <w:lvl w:ilvl="1" w:tplc="78A6FC68">
      <w:start w:val="1"/>
      <w:numFmt w:val="bullet"/>
      <w:lvlText w:val=""/>
      <w:lvlJc w:val="left"/>
      <w:pPr>
        <w:tabs>
          <w:tab w:val="num" w:pos="1601"/>
        </w:tabs>
        <w:ind w:left="1601" w:hanging="454"/>
      </w:pPr>
      <w:rPr>
        <w:rFonts w:ascii="Symbol" w:hAnsi="Symbol" w:hint="default"/>
      </w:rPr>
    </w:lvl>
    <w:lvl w:ilvl="2" w:tplc="C03A0192">
      <w:start w:val="1"/>
      <w:numFmt w:val="decimal"/>
      <w:lvlText w:val="%3."/>
      <w:lvlJc w:val="left"/>
      <w:pPr>
        <w:tabs>
          <w:tab w:val="num" w:pos="2160"/>
        </w:tabs>
        <w:ind w:left="2160" w:hanging="360"/>
      </w:pPr>
    </w:lvl>
    <w:lvl w:ilvl="3" w:tplc="78CEFAE2">
      <w:start w:val="1"/>
      <w:numFmt w:val="decimal"/>
      <w:lvlText w:val="%4."/>
      <w:lvlJc w:val="left"/>
      <w:pPr>
        <w:tabs>
          <w:tab w:val="num" w:pos="2880"/>
        </w:tabs>
        <w:ind w:left="2880" w:hanging="360"/>
      </w:pPr>
    </w:lvl>
    <w:lvl w:ilvl="4" w:tplc="37ECA6EC">
      <w:start w:val="1"/>
      <w:numFmt w:val="decimal"/>
      <w:lvlText w:val="%5."/>
      <w:lvlJc w:val="left"/>
      <w:pPr>
        <w:tabs>
          <w:tab w:val="num" w:pos="3600"/>
        </w:tabs>
        <w:ind w:left="3600" w:hanging="360"/>
      </w:pPr>
    </w:lvl>
    <w:lvl w:ilvl="5" w:tplc="4E06A6DE">
      <w:start w:val="1"/>
      <w:numFmt w:val="decimal"/>
      <w:lvlText w:val="%6."/>
      <w:lvlJc w:val="left"/>
      <w:pPr>
        <w:tabs>
          <w:tab w:val="num" w:pos="4320"/>
        </w:tabs>
        <w:ind w:left="4320" w:hanging="360"/>
      </w:pPr>
    </w:lvl>
    <w:lvl w:ilvl="6" w:tplc="267A65BC">
      <w:start w:val="1"/>
      <w:numFmt w:val="decimal"/>
      <w:lvlText w:val="%7."/>
      <w:lvlJc w:val="left"/>
      <w:pPr>
        <w:tabs>
          <w:tab w:val="num" w:pos="5040"/>
        </w:tabs>
        <w:ind w:left="5040" w:hanging="360"/>
      </w:pPr>
    </w:lvl>
    <w:lvl w:ilvl="7" w:tplc="3248729E">
      <w:start w:val="1"/>
      <w:numFmt w:val="decimal"/>
      <w:lvlText w:val="%8."/>
      <w:lvlJc w:val="left"/>
      <w:pPr>
        <w:tabs>
          <w:tab w:val="num" w:pos="5760"/>
        </w:tabs>
        <w:ind w:left="5760" w:hanging="360"/>
      </w:pPr>
    </w:lvl>
    <w:lvl w:ilvl="8" w:tplc="9A42431E">
      <w:start w:val="1"/>
      <w:numFmt w:val="decimal"/>
      <w:lvlText w:val="%9."/>
      <w:lvlJc w:val="left"/>
      <w:pPr>
        <w:tabs>
          <w:tab w:val="num" w:pos="6480"/>
        </w:tabs>
        <w:ind w:left="6480" w:hanging="360"/>
      </w:pPr>
    </w:lvl>
  </w:abstractNum>
  <w:abstractNum w:abstractNumId="22">
    <w:nsid w:val="364A7770"/>
    <w:multiLevelType w:val="hybridMultilevel"/>
    <w:tmpl w:val="6A8C16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74B7ECF"/>
    <w:multiLevelType w:val="hybridMultilevel"/>
    <w:tmpl w:val="4B90577C"/>
    <w:lvl w:ilvl="0" w:tplc="14090003">
      <w:start w:val="1"/>
      <w:numFmt w:val="bullet"/>
      <w:lvlText w:val="o"/>
      <w:lvlJc w:val="left"/>
      <w:pPr>
        <w:ind w:left="1287" w:hanging="360"/>
      </w:pPr>
      <w:rPr>
        <w:rFonts w:ascii="Courier New" w:hAnsi="Courier New" w:cs="Courier New"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3AF5AD9"/>
    <w:multiLevelType w:val="hybridMultilevel"/>
    <w:tmpl w:val="FD1C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53118CD"/>
    <w:multiLevelType w:val="hybridMultilevel"/>
    <w:tmpl w:val="620CD8E4"/>
    <w:lvl w:ilvl="0" w:tplc="0C09000F">
      <w:start w:val="1"/>
      <w:numFmt w:val="decimal"/>
      <w:lvlText w:val="%1."/>
      <w:lvlJc w:val="left"/>
      <w:pPr>
        <w:ind w:left="1211"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48B4738D"/>
    <w:multiLevelType w:val="hybridMultilevel"/>
    <w:tmpl w:val="57CA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F0384C"/>
    <w:multiLevelType w:val="hybridMultilevel"/>
    <w:tmpl w:val="87540E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4B4C71A5"/>
    <w:multiLevelType w:val="hybridMultilevel"/>
    <w:tmpl w:val="288CED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4CBD36CE"/>
    <w:multiLevelType w:val="hybridMultilevel"/>
    <w:tmpl w:val="CCFA501C"/>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E65915"/>
    <w:multiLevelType w:val="hybridMultilevel"/>
    <w:tmpl w:val="EB7213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14870CF"/>
    <w:multiLevelType w:val="hybridMultilevel"/>
    <w:tmpl w:val="EB98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7D5E33"/>
    <w:multiLevelType w:val="hybridMultilevel"/>
    <w:tmpl w:val="163C7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6A0EE1"/>
    <w:multiLevelType w:val="hybridMultilevel"/>
    <w:tmpl w:val="FB6E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ACD2B7B"/>
    <w:multiLevelType w:val="hybridMultilevel"/>
    <w:tmpl w:val="950EE1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5CA73C2E"/>
    <w:multiLevelType w:val="hybridMultilevel"/>
    <w:tmpl w:val="07E653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5F8C44EC"/>
    <w:multiLevelType w:val="hybridMultilevel"/>
    <w:tmpl w:val="BA2A4E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nsid w:val="62CA2CC7"/>
    <w:multiLevelType w:val="hybridMultilevel"/>
    <w:tmpl w:val="C980C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2E3747E"/>
    <w:multiLevelType w:val="hybridMultilevel"/>
    <w:tmpl w:val="C5748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nsid w:val="69176283"/>
    <w:multiLevelType w:val="hybridMultilevel"/>
    <w:tmpl w:val="FF0C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A8F44BE"/>
    <w:multiLevelType w:val="hybridMultilevel"/>
    <w:tmpl w:val="C9FEC9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AC9023D"/>
    <w:multiLevelType w:val="hybridMultilevel"/>
    <w:tmpl w:val="3CA4E2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5605CEC">
      <w:numFmt w:val="bullet"/>
      <w:lvlText w:val="•"/>
      <w:lvlJc w:val="left"/>
      <w:pPr>
        <w:ind w:left="2370" w:hanging="570"/>
      </w:pPr>
      <w:rPr>
        <w:rFonts w:ascii="Arial" w:eastAsia="Times New Roman" w:hAnsi="Arial" w:cs="Arial"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AF34907"/>
    <w:multiLevelType w:val="hybridMultilevel"/>
    <w:tmpl w:val="A7F8541A"/>
    <w:lvl w:ilvl="0" w:tplc="3EF22D42">
      <w:start w:val="1"/>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6C0010A8"/>
    <w:multiLevelType w:val="hybridMultilevel"/>
    <w:tmpl w:val="585C21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nsid w:val="6D86032C"/>
    <w:multiLevelType w:val="hybridMultilevel"/>
    <w:tmpl w:val="A7F27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0">
    <w:nsid w:val="72237549"/>
    <w:multiLevelType w:val="hybridMultilevel"/>
    <w:tmpl w:val="139CB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75965917"/>
    <w:multiLevelType w:val="hybridMultilevel"/>
    <w:tmpl w:val="1B96A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A58668B"/>
    <w:multiLevelType w:val="hybridMultilevel"/>
    <w:tmpl w:val="490848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nsid w:val="7B7469A8"/>
    <w:multiLevelType w:val="hybridMultilevel"/>
    <w:tmpl w:val="B75492D0"/>
    <w:lvl w:ilvl="0" w:tplc="9FC84D2A">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7C5E7263"/>
    <w:multiLevelType w:val="hybridMultilevel"/>
    <w:tmpl w:val="478A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D27234E"/>
    <w:multiLevelType w:val="hybridMultilevel"/>
    <w:tmpl w:val="572CBD3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6">
    <w:nsid w:val="7DFB5B37"/>
    <w:multiLevelType w:val="hybridMultilevel"/>
    <w:tmpl w:val="3A808B56"/>
    <w:lvl w:ilvl="0" w:tplc="0388B4F4">
      <w:start w:val="1"/>
      <w:numFmt w:val="bullet"/>
      <w:lvlText w:val=""/>
      <w:lvlJc w:val="left"/>
      <w:pPr>
        <w:ind w:left="1211" w:hanging="360"/>
      </w:pPr>
      <w:rPr>
        <w:rFonts w:ascii="Symbol" w:hAnsi="Symbol"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31"/>
  </w:num>
  <w:num w:numId="3">
    <w:abstractNumId w:val="0"/>
  </w:num>
  <w:num w:numId="4">
    <w:abstractNumId w:val="42"/>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11"/>
  </w:num>
  <w:num w:numId="8">
    <w:abstractNumId w:val="4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1"/>
  </w:num>
  <w:num w:numId="13">
    <w:abstractNumId w:val="43"/>
  </w:num>
  <w:num w:numId="14">
    <w:abstractNumId w:val="36"/>
  </w:num>
  <w:num w:numId="15">
    <w:abstractNumId w:val="4"/>
  </w:num>
  <w:num w:numId="16">
    <w:abstractNumId w:val="28"/>
  </w:num>
  <w:num w:numId="17">
    <w:abstractNumId w:val="30"/>
  </w:num>
  <w:num w:numId="18">
    <w:abstractNumId w:val="7"/>
  </w:num>
  <w:num w:numId="19">
    <w:abstractNumId w:val="22"/>
  </w:num>
  <w:num w:numId="20">
    <w:abstractNumId w:val="19"/>
  </w:num>
  <w:num w:numId="21">
    <w:abstractNumId w:val="33"/>
  </w:num>
  <w:num w:numId="22">
    <w:abstractNumId w:val="12"/>
  </w:num>
  <w:num w:numId="23">
    <w:abstractNumId w:val="16"/>
  </w:num>
  <w:num w:numId="24">
    <w:abstractNumId w:val="48"/>
  </w:num>
  <w:num w:numId="25">
    <w:abstractNumId w:val="27"/>
  </w:num>
  <w:num w:numId="26">
    <w:abstractNumId w:val="20"/>
  </w:num>
  <w:num w:numId="27">
    <w:abstractNumId w:val="37"/>
  </w:num>
  <w:num w:numId="28">
    <w:abstractNumId w:val="26"/>
  </w:num>
  <w:num w:numId="29">
    <w:abstractNumId w:val="5"/>
  </w:num>
  <w:num w:numId="30">
    <w:abstractNumId w:val="17"/>
  </w:num>
  <w:num w:numId="31">
    <w:abstractNumId w:val="10"/>
  </w:num>
  <w:num w:numId="32">
    <w:abstractNumId w:val="54"/>
  </w:num>
  <w:num w:numId="33">
    <w:abstractNumId w:val="41"/>
  </w:num>
  <w:num w:numId="34">
    <w:abstractNumId w:val="32"/>
  </w:num>
  <w:num w:numId="35">
    <w:abstractNumId w:val="45"/>
  </w:num>
  <w:num w:numId="36">
    <w:abstractNumId w:val="49"/>
  </w:num>
  <w:num w:numId="3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4"/>
  </w:num>
  <w:num w:numId="40">
    <w:abstractNumId w:val="3"/>
  </w:num>
  <w:num w:numId="41">
    <w:abstractNumId w:val="39"/>
  </w:num>
  <w:num w:numId="42">
    <w:abstractNumId w:val="31"/>
  </w:num>
  <w:num w:numId="43">
    <w:abstractNumId w:val="31"/>
  </w:num>
  <w:num w:numId="44">
    <w:abstractNumId w:val="31"/>
  </w:num>
  <w:num w:numId="45">
    <w:abstractNumId w:val="34"/>
  </w:num>
  <w:num w:numId="46">
    <w:abstractNumId w:val="31"/>
  </w:num>
  <w:num w:numId="47">
    <w:abstractNumId w:val="8"/>
  </w:num>
  <w:num w:numId="48">
    <w:abstractNumId w:val="47"/>
  </w:num>
  <w:num w:numId="49">
    <w:abstractNumId w:val="29"/>
  </w:num>
  <w:num w:numId="50">
    <w:abstractNumId w:val="18"/>
  </w:num>
  <w:num w:numId="51">
    <w:abstractNumId w:val="50"/>
  </w:num>
  <w:num w:numId="52">
    <w:abstractNumId w:val="9"/>
  </w:num>
  <w:num w:numId="53">
    <w:abstractNumId w:val="52"/>
  </w:num>
  <w:num w:numId="54">
    <w:abstractNumId w:val="55"/>
  </w:num>
  <w:num w:numId="55">
    <w:abstractNumId w:val="38"/>
  </w:num>
  <w:num w:numId="56">
    <w:abstractNumId w:val="13"/>
  </w:num>
  <w:num w:numId="57">
    <w:abstractNumId w:val="6"/>
  </w:num>
  <w:num w:numId="58">
    <w:abstractNumId w:val="23"/>
  </w:num>
  <w:num w:numId="59">
    <w:abstractNumId w:val="56"/>
  </w:num>
  <w:num w:numId="60">
    <w:abstractNumId w:val="56"/>
  </w:num>
  <w:num w:numId="61">
    <w:abstractNumId w:val="49"/>
  </w:num>
  <w:num w:numId="62">
    <w:abstractNumId w:val="25"/>
  </w:num>
  <w:num w:numId="63">
    <w:abstractNumId w:val="35"/>
  </w:num>
  <w:num w:numId="64">
    <w:abstractNumId w:val="14"/>
  </w:num>
  <w:num w:numId="65">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39F"/>
    <w:rsid w:val="000007A5"/>
    <w:rsid w:val="00000FA6"/>
    <w:rsid w:val="00001CF2"/>
    <w:rsid w:val="0000215E"/>
    <w:rsid w:val="0000247B"/>
    <w:rsid w:val="00002BED"/>
    <w:rsid w:val="0000469B"/>
    <w:rsid w:val="00004BED"/>
    <w:rsid w:val="000057EA"/>
    <w:rsid w:val="00007FEC"/>
    <w:rsid w:val="00010095"/>
    <w:rsid w:val="000109FD"/>
    <w:rsid w:val="00011542"/>
    <w:rsid w:val="000115C9"/>
    <w:rsid w:val="00011B7A"/>
    <w:rsid w:val="00011E92"/>
    <w:rsid w:val="00012996"/>
    <w:rsid w:val="00012AD8"/>
    <w:rsid w:val="00014C42"/>
    <w:rsid w:val="00015E10"/>
    <w:rsid w:val="00016CB6"/>
    <w:rsid w:val="00016D14"/>
    <w:rsid w:val="00016EE5"/>
    <w:rsid w:val="00016F2E"/>
    <w:rsid w:val="000179D3"/>
    <w:rsid w:val="00017E10"/>
    <w:rsid w:val="00023C5A"/>
    <w:rsid w:val="00024524"/>
    <w:rsid w:val="00024B03"/>
    <w:rsid w:val="00025155"/>
    <w:rsid w:val="000256CB"/>
    <w:rsid w:val="00026F4C"/>
    <w:rsid w:val="00030E41"/>
    <w:rsid w:val="000314B4"/>
    <w:rsid w:val="00032FB3"/>
    <w:rsid w:val="00033B60"/>
    <w:rsid w:val="00034C30"/>
    <w:rsid w:val="00034F87"/>
    <w:rsid w:val="00035FF3"/>
    <w:rsid w:val="000364A5"/>
    <w:rsid w:val="000365AC"/>
    <w:rsid w:val="000379DC"/>
    <w:rsid w:val="00040BCB"/>
    <w:rsid w:val="00041648"/>
    <w:rsid w:val="000427B2"/>
    <w:rsid w:val="0004290A"/>
    <w:rsid w:val="00043F5D"/>
    <w:rsid w:val="00044414"/>
    <w:rsid w:val="000451AB"/>
    <w:rsid w:val="0004525B"/>
    <w:rsid w:val="000453AA"/>
    <w:rsid w:val="00045448"/>
    <w:rsid w:val="00045FD6"/>
    <w:rsid w:val="00047475"/>
    <w:rsid w:val="00051021"/>
    <w:rsid w:val="00051ED9"/>
    <w:rsid w:val="00051F6A"/>
    <w:rsid w:val="0005274D"/>
    <w:rsid w:val="00052758"/>
    <w:rsid w:val="00053A9D"/>
    <w:rsid w:val="00055347"/>
    <w:rsid w:val="00056277"/>
    <w:rsid w:val="00057181"/>
    <w:rsid w:val="00057422"/>
    <w:rsid w:val="000576AD"/>
    <w:rsid w:val="00060CEA"/>
    <w:rsid w:val="000616CC"/>
    <w:rsid w:val="0006235A"/>
    <w:rsid w:val="00063A6A"/>
    <w:rsid w:val="00063F9A"/>
    <w:rsid w:val="00064B2D"/>
    <w:rsid w:val="00065201"/>
    <w:rsid w:val="00065F1F"/>
    <w:rsid w:val="0006618C"/>
    <w:rsid w:val="00066822"/>
    <w:rsid w:val="00066E46"/>
    <w:rsid w:val="0006702C"/>
    <w:rsid w:val="00067317"/>
    <w:rsid w:val="00071381"/>
    <w:rsid w:val="000729DC"/>
    <w:rsid w:val="0007436F"/>
    <w:rsid w:val="00074621"/>
    <w:rsid w:val="0007466A"/>
    <w:rsid w:val="00074B11"/>
    <w:rsid w:val="00074D55"/>
    <w:rsid w:val="000763F1"/>
    <w:rsid w:val="000766BF"/>
    <w:rsid w:val="00076D33"/>
    <w:rsid w:val="00077B68"/>
    <w:rsid w:val="00081F10"/>
    <w:rsid w:val="00082F41"/>
    <w:rsid w:val="000830D2"/>
    <w:rsid w:val="000864F9"/>
    <w:rsid w:val="00087B22"/>
    <w:rsid w:val="00090F66"/>
    <w:rsid w:val="0009101E"/>
    <w:rsid w:val="000911D3"/>
    <w:rsid w:val="0009198E"/>
    <w:rsid w:val="00091CC2"/>
    <w:rsid w:val="000930EF"/>
    <w:rsid w:val="00094293"/>
    <w:rsid w:val="000957D2"/>
    <w:rsid w:val="0009657C"/>
    <w:rsid w:val="000A0090"/>
    <w:rsid w:val="000A1D6A"/>
    <w:rsid w:val="000A1EE1"/>
    <w:rsid w:val="000A27E9"/>
    <w:rsid w:val="000A2AC1"/>
    <w:rsid w:val="000A3961"/>
    <w:rsid w:val="000A3D8B"/>
    <w:rsid w:val="000A3E2C"/>
    <w:rsid w:val="000A54BB"/>
    <w:rsid w:val="000A5DF8"/>
    <w:rsid w:val="000A66AA"/>
    <w:rsid w:val="000A6879"/>
    <w:rsid w:val="000A6B12"/>
    <w:rsid w:val="000B0F89"/>
    <w:rsid w:val="000B3836"/>
    <w:rsid w:val="000B3C42"/>
    <w:rsid w:val="000B3FAB"/>
    <w:rsid w:val="000B47CA"/>
    <w:rsid w:val="000B4DAD"/>
    <w:rsid w:val="000B65D1"/>
    <w:rsid w:val="000B6AF2"/>
    <w:rsid w:val="000B6C3E"/>
    <w:rsid w:val="000B7657"/>
    <w:rsid w:val="000B766D"/>
    <w:rsid w:val="000B7C41"/>
    <w:rsid w:val="000C1153"/>
    <w:rsid w:val="000C2A31"/>
    <w:rsid w:val="000C5C7C"/>
    <w:rsid w:val="000D1CA4"/>
    <w:rsid w:val="000D3283"/>
    <w:rsid w:val="000D42E3"/>
    <w:rsid w:val="000D4564"/>
    <w:rsid w:val="000D5843"/>
    <w:rsid w:val="000D61DE"/>
    <w:rsid w:val="000D66D4"/>
    <w:rsid w:val="000D6CA0"/>
    <w:rsid w:val="000D6FD4"/>
    <w:rsid w:val="000E0A8D"/>
    <w:rsid w:val="000E0AE4"/>
    <w:rsid w:val="000E1ED4"/>
    <w:rsid w:val="000E33F6"/>
    <w:rsid w:val="000E3AAE"/>
    <w:rsid w:val="000E3DBC"/>
    <w:rsid w:val="000E5E6A"/>
    <w:rsid w:val="000E70AE"/>
    <w:rsid w:val="000E7D76"/>
    <w:rsid w:val="000F01C1"/>
    <w:rsid w:val="000F022D"/>
    <w:rsid w:val="000F057E"/>
    <w:rsid w:val="000F100F"/>
    <w:rsid w:val="000F146C"/>
    <w:rsid w:val="000F25AE"/>
    <w:rsid w:val="000F2A1F"/>
    <w:rsid w:val="000F38CD"/>
    <w:rsid w:val="000F41D1"/>
    <w:rsid w:val="000F5D29"/>
    <w:rsid w:val="000F6018"/>
    <w:rsid w:val="000F61AF"/>
    <w:rsid w:val="000F6A06"/>
    <w:rsid w:val="000F6C4B"/>
    <w:rsid w:val="000F6CA4"/>
    <w:rsid w:val="000F6D8C"/>
    <w:rsid w:val="000F6ED0"/>
    <w:rsid w:val="000F72EF"/>
    <w:rsid w:val="000F7AB6"/>
    <w:rsid w:val="001016E5"/>
    <w:rsid w:val="00103488"/>
    <w:rsid w:val="00103D1E"/>
    <w:rsid w:val="0010479D"/>
    <w:rsid w:val="00105FCC"/>
    <w:rsid w:val="00106876"/>
    <w:rsid w:val="00111ED6"/>
    <w:rsid w:val="00111F68"/>
    <w:rsid w:val="00113CE3"/>
    <w:rsid w:val="00116154"/>
    <w:rsid w:val="00116511"/>
    <w:rsid w:val="00117522"/>
    <w:rsid w:val="00120698"/>
    <w:rsid w:val="00120E85"/>
    <w:rsid w:val="00121211"/>
    <w:rsid w:val="0012139C"/>
    <w:rsid w:val="00124B02"/>
    <w:rsid w:val="00125EB6"/>
    <w:rsid w:val="001271A7"/>
    <w:rsid w:val="001274D2"/>
    <w:rsid w:val="001276BE"/>
    <w:rsid w:val="00130B27"/>
    <w:rsid w:val="001327B1"/>
    <w:rsid w:val="0013318C"/>
    <w:rsid w:val="00133763"/>
    <w:rsid w:val="001347B3"/>
    <w:rsid w:val="00135FF6"/>
    <w:rsid w:val="00136E62"/>
    <w:rsid w:val="00141C70"/>
    <w:rsid w:val="00142741"/>
    <w:rsid w:val="00145EB8"/>
    <w:rsid w:val="00146CA9"/>
    <w:rsid w:val="0014756C"/>
    <w:rsid w:val="001479BB"/>
    <w:rsid w:val="0015037F"/>
    <w:rsid w:val="001508A2"/>
    <w:rsid w:val="001517DD"/>
    <w:rsid w:val="00152210"/>
    <w:rsid w:val="00152FFE"/>
    <w:rsid w:val="001542D8"/>
    <w:rsid w:val="0015472F"/>
    <w:rsid w:val="0015496F"/>
    <w:rsid w:val="001551B8"/>
    <w:rsid w:val="00155D72"/>
    <w:rsid w:val="001568C7"/>
    <w:rsid w:val="00156B55"/>
    <w:rsid w:val="00156D77"/>
    <w:rsid w:val="00160446"/>
    <w:rsid w:val="00160EFC"/>
    <w:rsid w:val="00161068"/>
    <w:rsid w:val="001613CE"/>
    <w:rsid w:val="001619A9"/>
    <w:rsid w:val="001623AF"/>
    <w:rsid w:val="00162BA9"/>
    <w:rsid w:val="00162E88"/>
    <w:rsid w:val="0016421A"/>
    <w:rsid w:val="0016545C"/>
    <w:rsid w:val="001656B4"/>
    <w:rsid w:val="001658A4"/>
    <w:rsid w:val="00165D58"/>
    <w:rsid w:val="001665B2"/>
    <w:rsid w:val="0016681E"/>
    <w:rsid w:val="001670D5"/>
    <w:rsid w:val="00167FC8"/>
    <w:rsid w:val="0017026B"/>
    <w:rsid w:val="00172000"/>
    <w:rsid w:val="001730E8"/>
    <w:rsid w:val="0017323D"/>
    <w:rsid w:val="0017420D"/>
    <w:rsid w:val="00176001"/>
    <w:rsid w:val="00176093"/>
    <w:rsid w:val="0017697A"/>
    <w:rsid w:val="001774A6"/>
    <w:rsid w:val="00177858"/>
    <w:rsid w:val="00180403"/>
    <w:rsid w:val="00180C41"/>
    <w:rsid w:val="00181AFD"/>
    <w:rsid w:val="00181B89"/>
    <w:rsid w:val="00182C4C"/>
    <w:rsid w:val="001833F1"/>
    <w:rsid w:val="001903D0"/>
    <w:rsid w:val="001917AB"/>
    <w:rsid w:val="0019278B"/>
    <w:rsid w:val="00193038"/>
    <w:rsid w:val="00194835"/>
    <w:rsid w:val="001950E2"/>
    <w:rsid w:val="001952C3"/>
    <w:rsid w:val="00195761"/>
    <w:rsid w:val="001961B5"/>
    <w:rsid w:val="00196D10"/>
    <w:rsid w:val="0019714E"/>
    <w:rsid w:val="00197261"/>
    <w:rsid w:val="001976BE"/>
    <w:rsid w:val="00197D8D"/>
    <w:rsid w:val="001A0A9E"/>
    <w:rsid w:val="001A0F14"/>
    <w:rsid w:val="001A0FC2"/>
    <w:rsid w:val="001A1A75"/>
    <w:rsid w:val="001A20A5"/>
    <w:rsid w:val="001A2536"/>
    <w:rsid w:val="001A2A0F"/>
    <w:rsid w:val="001A3179"/>
    <w:rsid w:val="001A33B3"/>
    <w:rsid w:val="001A5158"/>
    <w:rsid w:val="001A6041"/>
    <w:rsid w:val="001A7504"/>
    <w:rsid w:val="001A79DC"/>
    <w:rsid w:val="001A7E9A"/>
    <w:rsid w:val="001B12C1"/>
    <w:rsid w:val="001B21F0"/>
    <w:rsid w:val="001B2B3A"/>
    <w:rsid w:val="001B3A2B"/>
    <w:rsid w:val="001B4033"/>
    <w:rsid w:val="001B6481"/>
    <w:rsid w:val="001B6777"/>
    <w:rsid w:val="001C1746"/>
    <w:rsid w:val="001C1783"/>
    <w:rsid w:val="001C1B2C"/>
    <w:rsid w:val="001C27A3"/>
    <w:rsid w:val="001C282C"/>
    <w:rsid w:val="001C3770"/>
    <w:rsid w:val="001C3D2F"/>
    <w:rsid w:val="001C4323"/>
    <w:rsid w:val="001C4642"/>
    <w:rsid w:val="001C4FD6"/>
    <w:rsid w:val="001C5295"/>
    <w:rsid w:val="001C58EA"/>
    <w:rsid w:val="001C5CE6"/>
    <w:rsid w:val="001C61A9"/>
    <w:rsid w:val="001C6756"/>
    <w:rsid w:val="001D0CFF"/>
    <w:rsid w:val="001D0E4A"/>
    <w:rsid w:val="001D15F5"/>
    <w:rsid w:val="001D19AB"/>
    <w:rsid w:val="001D2C94"/>
    <w:rsid w:val="001D42B2"/>
    <w:rsid w:val="001D69BD"/>
    <w:rsid w:val="001E0375"/>
    <w:rsid w:val="001E0404"/>
    <w:rsid w:val="001E09FA"/>
    <w:rsid w:val="001E1394"/>
    <w:rsid w:val="001E233B"/>
    <w:rsid w:val="001E3D11"/>
    <w:rsid w:val="001E4ED9"/>
    <w:rsid w:val="001E5808"/>
    <w:rsid w:val="001E5906"/>
    <w:rsid w:val="001E5A45"/>
    <w:rsid w:val="001E68CF"/>
    <w:rsid w:val="001E6B8D"/>
    <w:rsid w:val="001F0232"/>
    <w:rsid w:val="001F0759"/>
    <w:rsid w:val="001F07DC"/>
    <w:rsid w:val="001F0DEB"/>
    <w:rsid w:val="001F2BBB"/>
    <w:rsid w:val="001F2F62"/>
    <w:rsid w:val="001F3EEF"/>
    <w:rsid w:val="001F4D4A"/>
    <w:rsid w:val="001F53BD"/>
    <w:rsid w:val="001F6500"/>
    <w:rsid w:val="001F74B2"/>
    <w:rsid w:val="001F7D59"/>
    <w:rsid w:val="001F7D8C"/>
    <w:rsid w:val="002009BF"/>
    <w:rsid w:val="002015B2"/>
    <w:rsid w:val="00203540"/>
    <w:rsid w:val="0020557D"/>
    <w:rsid w:val="002074F7"/>
    <w:rsid w:val="00210995"/>
    <w:rsid w:val="0021273F"/>
    <w:rsid w:val="002127E8"/>
    <w:rsid w:val="00212F7B"/>
    <w:rsid w:val="0021443C"/>
    <w:rsid w:val="00214EFF"/>
    <w:rsid w:val="00214FB5"/>
    <w:rsid w:val="002157A9"/>
    <w:rsid w:val="002160EA"/>
    <w:rsid w:val="002174CD"/>
    <w:rsid w:val="00217B72"/>
    <w:rsid w:val="002202C3"/>
    <w:rsid w:val="00220D6B"/>
    <w:rsid w:val="00220E6E"/>
    <w:rsid w:val="00221D07"/>
    <w:rsid w:val="00222730"/>
    <w:rsid w:val="00225069"/>
    <w:rsid w:val="0022564C"/>
    <w:rsid w:val="0022606F"/>
    <w:rsid w:val="00226ED7"/>
    <w:rsid w:val="00227E4A"/>
    <w:rsid w:val="00231294"/>
    <w:rsid w:val="0023145F"/>
    <w:rsid w:val="00231D54"/>
    <w:rsid w:val="002329F8"/>
    <w:rsid w:val="00233967"/>
    <w:rsid w:val="0023437E"/>
    <w:rsid w:val="00234C25"/>
    <w:rsid w:val="00235755"/>
    <w:rsid w:val="00236DD6"/>
    <w:rsid w:val="00236F8B"/>
    <w:rsid w:val="002374D1"/>
    <w:rsid w:val="00237C60"/>
    <w:rsid w:val="0024112E"/>
    <w:rsid w:val="0024265D"/>
    <w:rsid w:val="00242E9D"/>
    <w:rsid w:val="002431FF"/>
    <w:rsid w:val="002432EE"/>
    <w:rsid w:val="002444ED"/>
    <w:rsid w:val="0024470B"/>
    <w:rsid w:val="00244F48"/>
    <w:rsid w:val="00245311"/>
    <w:rsid w:val="0024582E"/>
    <w:rsid w:val="00246900"/>
    <w:rsid w:val="00251773"/>
    <w:rsid w:val="00251A96"/>
    <w:rsid w:val="00253606"/>
    <w:rsid w:val="0025368E"/>
    <w:rsid w:val="00253B01"/>
    <w:rsid w:val="0025473A"/>
    <w:rsid w:val="002547EF"/>
    <w:rsid w:val="00255E8D"/>
    <w:rsid w:val="00256D65"/>
    <w:rsid w:val="002576BA"/>
    <w:rsid w:val="0025786A"/>
    <w:rsid w:val="00257C04"/>
    <w:rsid w:val="00261212"/>
    <w:rsid w:val="002619E8"/>
    <w:rsid w:val="00261D14"/>
    <w:rsid w:val="00265E4A"/>
    <w:rsid w:val="002660BC"/>
    <w:rsid w:val="00266A98"/>
    <w:rsid w:val="00267329"/>
    <w:rsid w:val="00267D8F"/>
    <w:rsid w:val="00270605"/>
    <w:rsid w:val="00270923"/>
    <w:rsid w:val="00270A0D"/>
    <w:rsid w:val="00270BAC"/>
    <w:rsid w:val="00271DE0"/>
    <w:rsid w:val="00271F00"/>
    <w:rsid w:val="0027399A"/>
    <w:rsid w:val="00273A80"/>
    <w:rsid w:val="00275BAE"/>
    <w:rsid w:val="00280F7D"/>
    <w:rsid w:val="00284773"/>
    <w:rsid w:val="002849D0"/>
    <w:rsid w:val="002867F7"/>
    <w:rsid w:val="00290B3D"/>
    <w:rsid w:val="0029120D"/>
    <w:rsid w:val="0029204E"/>
    <w:rsid w:val="00292C8A"/>
    <w:rsid w:val="00292DE7"/>
    <w:rsid w:val="00292E25"/>
    <w:rsid w:val="00293B2A"/>
    <w:rsid w:val="00293BAC"/>
    <w:rsid w:val="00293C25"/>
    <w:rsid w:val="00293FD7"/>
    <w:rsid w:val="00294BAD"/>
    <w:rsid w:val="0029631C"/>
    <w:rsid w:val="00296CFE"/>
    <w:rsid w:val="002A0194"/>
    <w:rsid w:val="002A048D"/>
    <w:rsid w:val="002A19FC"/>
    <w:rsid w:val="002A1DA8"/>
    <w:rsid w:val="002A1F5B"/>
    <w:rsid w:val="002A2799"/>
    <w:rsid w:val="002A2965"/>
    <w:rsid w:val="002A2B67"/>
    <w:rsid w:val="002A38D3"/>
    <w:rsid w:val="002A45C3"/>
    <w:rsid w:val="002A47E1"/>
    <w:rsid w:val="002A4DB8"/>
    <w:rsid w:val="002A531D"/>
    <w:rsid w:val="002A5F8B"/>
    <w:rsid w:val="002A7BE9"/>
    <w:rsid w:val="002A7C41"/>
    <w:rsid w:val="002A7F67"/>
    <w:rsid w:val="002A7F6C"/>
    <w:rsid w:val="002B064C"/>
    <w:rsid w:val="002B26F4"/>
    <w:rsid w:val="002B3583"/>
    <w:rsid w:val="002B3718"/>
    <w:rsid w:val="002B3D69"/>
    <w:rsid w:val="002B4088"/>
    <w:rsid w:val="002B46C7"/>
    <w:rsid w:val="002B5E6E"/>
    <w:rsid w:val="002B6080"/>
    <w:rsid w:val="002B6D3D"/>
    <w:rsid w:val="002B6D58"/>
    <w:rsid w:val="002B78AB"/>
    <w:rsid w:val="002C17F9"/>
    <w:rsid w:val="002C1DBE"/>
    <w:rsid w:val="002C1FAE"/>
    <w:rsid w:val="002C27B7"/>
    <w:rsid w:val="002C28C1"/>
    <w:rsid w:val="002C2F22"/>
    <w:rsid w:val="002C360E"/>
    <w:rsid w:val="002C41B1"/>
    <w:rsid w:val="002C47EE"/>
    <w:rsid w:val="002C500D"/>
    <w:rsid w:val="002C644A"/>
    <w:rsid w:val="002C7606"/>
    <w:rsid w:val="002D12BE"/>
    <w:rsid w:val="002D22F7"/>
    <w:rsid w:val="002D2A02"/>
    <w:rsid w:val="002D37FB"/>
    <w:rsid w:val="002D4789"/>
    <w:rsid w:val="002D5F5D"/>
    <w:rsid w:val="002D65A9"/>
    <w:rsid w:val="002D6809"/>
    <w:rsid w:val="002D686B"/>
    <w:rsid w:val="002D723F"/>
    <w:rsid w:val="002E049E"/>
    <w:rsid w:val="002E095C"/>
    <w:rsid w:val="002E0B8D"/>
    <w:rsid w:val="002E1830"/>
    <w:rsid w:val="002E31A6"/>
    <w:rsid w:val="002E32EA"/>
    <w:rsid w:val="002E39A3"/>
    <w:rsid w:val="002E4002"/>
    <w:rsid w:val="002E55CE"/>
    <w:rsid w:val="002E56C8"/>
    <w:rsid w:val="002E5B63"/>
    <w:rsid w:val="002E61F6"/>
    <w:rsid w:val="002F057C"/>
    <w:rsid w:val="002F0945"/>
    <w:rsid w:val="002F09BC"/>
    <w:rsid w:val="002F1BB6"/>
    <w:rsid w:val="002F2BAA"/>
    <w:rsid w:val="002F3288"/>
    <w:rsid w:val="002F32AA"/>
    <w:rsid w:val="002F3DF9"/>
    <w:rsid w:val="002F6488"/>
    <w:rsid w:val="002F66C2"/>
    <w:rsid w:val="002F6DFA"/>
    <w:rsid w:val="002F74AB"/>
    <w:rsid w:val="002F7A80"/>
    <w:rsid w:val="0030049A"/>
    <w:rsid w:val="003004D9"/>
    <w:rsid w:val="0030050B"/>
    <w:rsid w:val="0030235F"/>
    <w:rsid w:val="003024D3"/>
    <w:rsid w:val="00303568"/>
    <w:rsid w:val="003040F9"/>
    <w:rsid w:val="00304A1F"/>
    <w:rsid w:val="00305588"/>
    <w:rsid w:val="00306164"/>
    <w:rsid w:val="00306BD3"/>
    <w:rsid w:val="00307B16"/>
    <w:rsid w:val="00307DCD"/>
    <w:rsid w:val="003120A1"/>
    <w:rsid w:val="00312D70"/>
    <w:rsid w:val="00313D3C"/>
    <w:rsid w:val="00313D5A"/>
    <w:rsid w:val="00313FCE"/>
    <w:rsid w:val="00314EDF"/>
    <w:rsid w:val="00315617"/>
    <w:rsid w:val="00315A71"/>
    <w:rsid w:val="00316D07"/>
    <w:rsid w:val="00317846"/>
    <w:rsid w:val="00317FA7"/>
    <w:rsid w:val="003203D1"/>
    <w:rsid w:val="00320A80"/>
    <w:rsid w:val="00321185"/>
    <w:rsid w:val="003213F9"/>
    <w:rsid w:val="00322D3E"/>
    <w:rsid w:val="00323DBF"/>
    <w:rsid w:val="00325797"/>
    <w:rsid w:val="0032585A"/>
    <w:rsid w:val="00325D95"/>
    <w:rsid w:val="00326571"/>
    <w:rsid w:val="00326F55"/>
    <w:rsid w:val="00327E22"/>
    <w:rsid w:val="003309A8"/>
    <w:rsid w:val="00330D39"/>
    <w:rsid w:val="003328BC"/>
    <w:rsid w:val="003328C8"/>
    <w:rsid w:val="003328EB"/>
    <w:rsid w:val="003329CB"/>
    <w:rsid w:val="00332B12"/>
    <w:rsid w:val="003365C3"/>
    <w:rsid w:val="00336741"/>
    <w:rsid w:val="00337816"/>
    <w:rsid w:val="00337D05"/>
    <w:rsid w:val="0034009C"/>
    <w:rsid w:val="00343075"/>
    <w:rsid w:val="0034312D"/>
    <w:rsid w:val="003434B7"/>
    <w:rsid w:val="003435AD"/>
    <w:rsid w:val="00344DB0"/>
    <w:rsid w:val="00345A7D"/>
    <w:rsid w:val="0034624F"/>
    <w:rsid w:val="00346E2B"/>
    <w:rsid w:val="00347300"/>
    <w:rsid w:val="003476E9"/>
    <w:rsid w:val="00347935"/>
    <w:rsid w:val="00347A2A"/>
    <w:rsid w:val="00350222"/>
    <w:rsid w:val="00350DBD"/>
    <w:rsid w:val="00351927"/>
    <w:rsid w:val="00351B07"/>
    <w:rsid w:val="003528B4"/>
    <w:rsid w:val="003545A3"/>
    <w:rsid w:val="00354704"/>
    <w:rsid w:val="00354C1B"/>
    <w:rsid w:val="0035644F"/>
    <w:rsid w:val="00357DA6"/>
    <w:rsid w:val="00361A95"/>
    <w:rsid w:val="0036264C"/>
    <w:rsid w:val="00362B9A"/>
    <w:rsid w:val="00363419"/>
    <w:rsid w:val="00364005"/>
    <w:rsid w:val="00364841"/>
    <w:rsid w:val="00364E0F"/>
    <w:rsid w:val="00364EAB"/>
    <w:rsid w:val="00365327"/>
    <w:rsid w:val="00365444"/>
    <w:rsid w:val="003669D6"/>
    <w:rsid w:val="00366A33"/>
    <w:rsid w:val="0036773F"/>
    <w:rsid w:val="00367E2D"/>
    <w:rsid w:val="003705FA"/>
    <w:rsid w:val="0037152F"/>
    <w:rsid w:val="00371B29"/>
    <w:rsid w:val="00372182"/>
    <w:rsid w:val="0037236A"/>
    <w:rsid w:val="003729F4"/>
    <w:rsid w:val="003736BD"/>
    <w:rsid w:val="003739F2"/>
    <w:rsid w:val="00373DDA"/>
    <w:rsid w:val="00374E05"/>
    <w:rsid w:val="0037520F"/>
    <w:rsid w:val="0037705A"/>
    <w:rsid w:val="00377DDF"/>
    <w:rsid w:val="00381D48"/>
    <w:rsid w:val="0038360F"/>
    <w:rsid w:val="003839D5"/>
    <w:rsid w:val="00383E6B"/>
    <w:rsid w:val="00384B2F"/>
    <w:rsid w:val="003861F5"/>
    <w:rsid w:val="00387980"/>
    <w:rsid w:val="0039064A"/>
    <w:rsid w:val="00391769"/>
    <w:rsid w:val="00391825"/>
    <w:rsid w:val="0039248E"/>
    <w:rsid w:val="00393651"/>
    <w:rsid w:val="00393BC8"/>
    <w:rsid w:val="00393CDA"/>
    <w:rsid w:val="003953E1"/>
    <w:rsid w:val="003956B3"/>
    <w:rsid w:val="003957FE"/>
    <w:rsid w:val="003962A6"/>
    <w:rsid w:val="003965D8"/>
    <w:rsid w:val="003969DE"/>
    <w:rsid w:val="00397C9A"/>
    <w:rsid w:val="003A04A6"/>
    <w:rsid w:val="003A0E98"/>
    <w:rsid w:val="003A1A7A"/>
    <w:rsid w:val="003A1FC3"/>
    <w:rsid w:val="003A3118"/>
    <w:rsid w:val="003A44ED"/>
    <w:rsid w:val="003A6361"/>
    <w:rsid w:val="003A68BE"/>
    <w:rsid w:val="003A697F"/>
    <w:rsid w:val="003A6AD2"/>
    <w:rsid w:val="003A756B"/>
    <w:rsid w:val="003A7723"/>
    <w:rsid w:val="003A7801"/>
    <w:rsid w:val="003B0879"/>
    <w:rsid w:val="003B3C9D"/>
    <w:rsid w:val="003B474B"/>
    <w:rsid w:val="003B5D83"/>
    <w:rsid w:val="003B5EFF"/>
    <w:rsid w:val="003B774B"/>
    <w:rsid w:val="003B78E0"/>
    <w:rsid w:val="003C0469"/>
    <w:rsid w:val="003C0714"/>
    <w:rsid w:val="003C0E4E"/>
    <w:rsid w:val="003C159C"/>
    <w:rsid w:val="003C29B1"/>
    <w:rsid w:val="003C328E"/>
    <w:rsid w:val="003C3CB7"/>
    <w:rsid w:val="003C3D47"/>
    <w:rsid w:val="003C3F39"/>
    <w:rsid w:val="003C4017"/>
    <w:rsid w:val="003C4694"/>
    <w:rsid w:val="003C4969"/>
    <w:rsid w:val="003C4C94"/>
    <w:rsid w:val="003C5B12"/>
    <w:rsid w:val="003C6F97"/>
    <w:rsid w:val="003D0EC0"/>
    <w:rsid w:val="003D168F"/>
    <w:rsid w:val="003D1967"/>
    <w:rsid w:val="003D2665"/>
    <w:rsid w:val="003D6F2C"/>
    <w:rsid w:val="003D70F1"/>
    <w:rsid w:val="003D765E"/>
    <w:rsid w:val="003E01F7"/>
    <w:rsid w:val="003E022E"/>
    <w:rsid w:val="003E15C7"/>
    <w:rsid w:val="003E223B"/>
    <w:rsid w:val="003E31D0"/>
    <w:rsid w:val="003E41D5"/>
    <w:rsid w:val="003E46BA"/>
    <w:rsid w:val="003E5FDE"/>
    <w:rsid w:val="003E6486"/>
    <w:rsid w:val="003E65DE"/>
    <w:rsid w:val="003E65F0"/>
    <w:rsid w:val="003E68C6"/>
    <w:rsid w:val="003E71F2"/>
    <w:rsid w:val="003E74C5"/>
    <w:rsid w:val="003E7C68"/>
    <w:rsid w:val="003E7D22"/>
    <w:rsid w:val="003F0CD3"/>
    <w:rsid w:val="003F0D7C"/>
    <w:rsid w:val="003F4474"/>
    <w:rsid w:val="003F4657"/>
    <w:rsid w:val="003F4D39"/>
    <w:rsid w:val="003F5D82"/>
    <w:rsid w:val="003F74C1"/>
    <w:rsid w:val="003F776D"/>
    <w:rsid w:val="00400F15"/>
    <w:rsid w:val="00401504"/>
    <w:rsid w:val="00402FE3"/>
    <w:rsid w:val="00404CCC"/>
    <w:rsid w:val="00405197"/>
    <w:rsid w:val="00405325"/>
    <w:rsid w:val="00405B1A"/>
    <w:rsid w:val="00406205"/>
    <w:rsid w:val="00406336"/>
    <w:rsid w:val="00407241"/>
    <w:rsid w:val="0040767C"/>
    <w:rsid w:val="00410457"/>
    <w:rsid w:val="00410C76"/>
    <w:rsid w:val="00411907"/>
    <w:rsid w:val="004124E6"/>
    <w:rsid w:val="00413CA8"/>
    <w:rsid w:val="004147E0"/>
    <w:rsid w:val="00414B47"/>
    <w:rsid w:val="00414EB7"/>
    <w:rsid w:val="00416340"/>
    <w:rsid w:val="00416509"/>
    <w:rsid w:val="004165DB"/>
    <w:rsid w:val="004169F9"/>
    <w:rsid w:val="00416ED2"/>
    <w:rsid w:val="00417AAB"/>
    <w:rsid w:val="00417C64"/>
    <w:rsid w:val="00417D9D"/>
    <w:rsid w:val="00417EE3"/>
    <w:rsid w:val="004207EB"/>
    <w:rsid w:val="0042109A"/>
    <w:rsid w:val="004221E9"/>
    <w:rsid w:val="0042301A"/>
    <w:rsid w:val="004236AB"/>
    <w:rsid w:val="00424477"/>
    <w:rsid w:val="00424AC1"/>
    <w:rsid w:val="00425043"/>
    <w:rsid w:val="00425A93"/>
    <w:rsid w:val="004269C3"/>
    <w:rsid w:val="00426A1A"/>
    <w:rsid w:val="00430A38"/>
    <w:rsid w:val="00430EC9"/>
    <w:rsid w:val="0043145A"/>
    <w:rsid w:val="004314EB"/>
    <w:rsid w:val="00432A79"/>
    <w:rsid w:val="00433F04"/>
    <w:rsid w:val="00433F94"/>
    <w:rsid w:val="0043574A"/>
    <w:rsid w:val="00435FA5"/>
    <w:rsid w:val="004361B1"/>
    <w:rsid w:val="00436B8D"/>
    <w:rsid w:val="00437276"/>
    <w:rsid w:val="00437543"/>
    <w:rsid w:val="00437B97"/>
    <w:rsid w:val="00437C8B"/>
    <w:rsid w:val="00440722"/>
    <w:rsid w:val="00440EAC"/>
    <w:rsid w:val="00441892"/>
    <w:rsid w:val="00442289"/>
    <w:rsid w:val="004429C8"/>
    <w:rsid w:val="004434B8"/>
    <w:rsid w:val="00444EB6"/>
    <w:rsid w:val="004452D8"/>
    <w:rsid w:val="004465EA"/>
    <w:rsid w:val="00451012"/>
    <w:rsid w:val="00452BD0"/>
    <w:rsid w:val="004540E0"/>
    <w:rsid w:val="004541B0"/>
    <w:rsid w:val="00454225"/>
    <w:rsid w:val="004543D0"/>
    <w:rsid w:val="00454405"/>
    <w:rsid w:val="0045457F"/>
    <w:rsid w:val="0045556F"/>
    <w:rsid w:val="00455B86"/>
    <w:rsid w:val="00456A84"/>
    <w:rsid w:val="00456B54"/>
    <w:rsid w:val="00456CE4"/>
    <w:rsid w:val="00456F2C"/>
    <w:rsid w:val="00457952"/>
    <w:rsid w:val="00457C3C"/>
    <w:rsid w:val="004615F4"/>
    <w:rsid w:val="0046164C"/>
    <w:rsid w:val="00461652"/>
    <w:rsid w:val="00462475"/>
    <w:rsid w:val="00462A53"/>
    <w:rsid w:val="00463F5F"/>
    <w:rsid w:val="00464643"/>
    <w:rsid w:val="004646F8"/>
    <w:rsid w:val="00464E58"/>
    <w:rsid w:val="00465EAC"/>
    <w:rsid w:val="00466583"/>
    <w:rsid w:val="00466CAB"/>
    <w:rsid w:val="00467AC3"/>
    <w:rsid w:val="00471097"/>
    <w:rsid w:val="0047208B"/>
    <w:rsid w:val="004724AC"/>
    <w:rsid w:val="00472F1E"/>
    <w:rsid w:val="004744E1"/>
    <w:rsid w:val="00475239"/>
    <w:rsid w:val="0047546E"/>
    <w:rsid w:val="00476692"/>
    <w:rsid w:val="004773CE"/>
    <w:rsid w:val="00480575"/>
    <w:rsid w:val="00480AF9"/>
    <w:rsid w:val="00481708"/>
    <w:rsid w:val="004828F7"/>
    <w:rsid w:val="00483034"/>
    <w:rsid w:val="00483E5C"/>
    <w:rsid w:val="00485FC1"/>
    <w:rsid w:val="00486793"/>
    <w:rsid w:val="00490441"/>
    <w:rsid w:val="004915C8"/>
    <w:rsid w:val="00491DB4"/>
    <w:rsid w:val="00492FCD"/>
    <w:rsid w:val="00493265"/>
    <w:rsid w:val="004932A8"/>
    <w:rsid w:val="00494A12"/>
    <w:rsid w:val="00495044"/>
    <w:rsid w:val="0049595A"/>
    <w:rsid w:val="00497BCE"/>
    <w:rsid w:val="004A08FB"/>
    <w:rsid w:val="004A0B34"/>
    <w:rsid w:val="004A2037"/>
    <w:rsid w:val="004A2B3F"/>
    <w:rsid w:val="004A311C"/>
    <w:rsid w:val="004A3E52"/>
    <w:rsid w:val="004A4DE3"/>
    <w:rsid w:val="004A52ED"/>
    <w:rsid w:val="004A5ABE"/>
    <w:rsid w:val="004A5B56"/>
    <w:rsid w:val="004A6696"/>
    <w:rsid w:val="004A6B6C"/>
    <w:rsid w:val="004A771E"/>
    <w:rsid w:val="004B1737"/>
    <w:rsid w:val="004B2A97"/>
    <w:rsid w:val="004B375C"/>
    <w:rsid w:val="004B7248"/>
    <w:rsid w:val="004C0110"/>
    <w:rsid w:val="004C0DCC"/>
    <w:rsid w:val="004C16A8"/>
    <w:rsid w:val="004C16E4"/>
    <w:rsid w:val="004C1EAA"/>
    <w:rsid w:val="004C2CE7"/>
    <w:rsid w:val="004C31D3"/>
    <w:rsid w:val="004C425D"/>
    <w:rsid w:val="004C4269"/>
    <w:rsid w:val="004C431F"/>
    <w:rsid w:val="004C4C20"/>
    <w:rsid w:val="004C4E56"/>
    <w:rsid w:val="004C4F49"/>
    <w:rsid w:val="004C529E"/>
    <w:rsid w:val="004C5711"/>
    <w:rsid w:val="004C6884"/>
    <w:rsid w:val="004C6B5D"/>
    <w:rsid w:val="004C7DF9"/>
    <w:rsid w:val="004D186B"/>
    <w:rsid w:val="004D1D06"/>
    <w:rsid w:val="004D1DFD"/>
    <w:rsid w:val="004D30A6"/>
    <w:rsid w:val="004D3F9A"/>
    <w:rsid w:val="004D54B9"/>
    <w:rsid w:val="004D630F"/>
    <w:rsid w:val="004D6D08"/>
    <w:rsid w:val="004E00AD"/>
    <w:rsid w:val="004E09A2"/>
    <w:rsid w:val="004E0ED0"/>
    <w:rsid w:val="004E0F45"/>
    <w:rsid w:val="004E16DF"/>
    <w:rsid w:val="004E1FB6"/>
    <w:rsid w:val="004E273E"/>
    <w:rsid w:val="004E378A"/>
    <w:rsid w:val="004E3C54"/>
    <w:rsid w:val="004E4089"/>
    <w:rsid w:val="004E4AD9"/>
    <w:rsid w:val="004E4D68"/>
    <w:rsid w:val="004E5432"/>
    <w:rsid w:val="004E560E"/>
    <w:rsid w:val="004E5B55"/>
    <w:rsid w:val="004E6752"/>
    <w:rsid w:val="004E74A7"/>
    <w:rsid w:val="004E74D0"/>
    <w:rsid w:val="004E7E78"/>
    <w:rsid w:val="004F073D"/>
    <w:rsid w:val="004F131C"/>
    <w:rsid w:val="004F2523"/>
    <w:rsid w:val="004F29C5"/>
    <w:rsid w:val="004F3CCD"/>
    <w:rsid w:val="004F4F98"/>
    <w:rsid w:val="004F5F65"/>
    <w:rsid w:val="004F69F6"/>
    <w:rsid w:val="004F79AC"/>
    <w:rsid w:val="005014C1"/>
    <w:rsid w:val="005017CF"/>
    <w:rsid w:val="005018F2"/>
    <w:rsid w:val="005029BC"/>
    <w:rsid w:val="0050337C"/>
    <w:rsid w:val="00503434"/>
    <w:rsid w:val="00505EEB"/>
    <w:rsid w:val="00506176"/>
    <w:rsid w:val="00506DDF"/>
    <w:rsid w:val="00511CD0"/>
    <w:rsid w:val="00511E7C"/>
    <w:rsid w:val="005124B2"/>
    <w:rsid w:val="00512678"/>
    <w:rsid w:val="005130BD"/>
    <w:rsid w:val="00514489"/>
    <w:rsid w:val="005144DA"/>
    <w:rsid w:val="005153B0"/>
    <w:rsid w:val="00516BFB"/>
    <w:rsid w:val="00516E63"/>
    <w:rsid w:val="00517E29"/>
    <w:rsid w:val="00520089"/>
    <w:rsid w:val="005207D8"/>
    <w:rsid w:val="0052090C"/>
    <w:rsid w:val="00520D46"/>
    <w:rsid w:val="005210CC"/>
    <w:rsid w:val="00521F70"/>
    <w:rsid w:val="00522918"/>
    <w:rsid w:val="00522920"/>
    <w:rsid w:val="00522DA3"/>
    <w:rsid w:val="00522F90"/>
    <w:rsid w:val="00525113"/>
    <w:rsid w:val="00525508"/>
    <w:rsid w:val="00526011"/>
    <w:rsid w:val="00526158"/>
    <w:rsid w:val="00526586"/>
    <w:rsid w:val="00526716"/>
    <w:rsid w:val="005269B6"/>
    <w:rsid w:val="00526E96"/>
    <w:rsid w:val="00527BFD"/>
    <w:rsid w:val="00527F26"/>
    <w:rsid w:val="00530037"/>
    <w:rsid w:val="0053302A"/>
    <w:rsid w:val="005333EB"/>
    <w:rsid w:val="005336A3"/>
    <w:rsid w:val="00533CFF"/>
    <w:rsid w:val="00534427"/>
    <w:rsid w:val="0053464E"/>
    <w:rsid w:val="005369C9"/>
    <w:rsid w:val="00536AA5"/>
    <w:rsid w:val="00536C11"/>
    <w:rsid w:val="0053712C"/>
    <w:rsid w:val="00537A0C"/>
    <w:rsid w:val="00540E5B"/>
    <w:rsid w:val="00541170"/>
    <w:rsid w:val="00541FA4"/>
    <w:rsid w:val="00543866"/>
    <w:rsid w:val="00543DA8"/>
    <w:rsid w:val="0054410E"/>
    <w:rsid w:val="00545422"/>
    <w:rsid w:val="0054622B"/>
    <w:rsid w:val="005469A5"/>
    <w:rsid w:val="0054735A"/>
    <w:rsid w:val="00550088"/>
    <w:rsid w:val="005525C0"/>
    <w:rsid w:val="0055337A"/>
    <w:rsid w:val="00553969"/>
    <w:rsid w:val="00554009"/>
    <w:rsid w:val="005574FA"/>
    <w:rsid w:val="00557E48"/>
    <w:rsid w:val="0056009A"/>
    <w:rsid w:val="00560E87"/>
    <w:rsid w:val="005615D3"/>
    <w:rsid w:val="00562560"/>
    <w:rsid w:val="005627F0"/>
    <w:rsid w:val="00562917"/>
    <w:rsid w:val="00562D0A"/>
    <w:rsid w:val="005631FB"/>
    <w:rsid w:val="00563EA3"/>
    <w:rsid w:val="0056507C"/>
    <w:rsid w:val="00566A1D"/>
    <w:rsid w:val="00566C7F"/>
    <w:rsid w:val="00567626"/>
    <w:rsid w:val="0057040A"/>
    <w:rsid w:val="005718ED"/>
    <w:rsid w:val="0057293B"/>
    <w:rsid w:val="005741DF"/>
    <w:rsid w:val="00575769"/>
    <w:rsid w:val="005757E6"/>
    <w:rsid w:val="00576611"/>
    <w:rsid w:val="005776BB"/>
    <w:rsid w:val="005778BF"/>
    <w:rsid w:val="00577E6E"/>
    <w:rsid w:val="00581383"/>
    <w:rsid w:val="005845F6"/>
    <w:rsid w:val="00584A42"/>
    <w:rsid w:val="00584A86"/>
    <w:rsid w:val="00586228"/>
    <w:rsid w:val="005873D0"/>
    <w:rsid w:val="005875DB"/>
    <w:rsid w:val="00587DFF"/>
    <w:rsid w:val="00590307"/>
    <w:rsid w:val="00591A6D"/>
    <w:rsid w:val="0059391D"/>
    <w:rsid w:val="00594459"/>
    <w:rsid w:val="0059498B"/>
    <w:rsid w:val="00595F64"/>
    <w:rsid w:val="005965FE"/>
    <w:rsid w:val="00596667"/>
    <w:rsid w:val="005A09F8"/>
    <w:rsid w:val="005A306C"/>
    <w:rsid w:val="005A3145"/>
    <w:rsid w:val="005A3417"/>
    <w:rsid w:val="005A40BA"/>
    <w:rsid w:val="005A6168"/>
    <w:rsid w:val="005A652E"/>
    <w:rsid w:val="005A7E83"/>
    <w:rsid w:val="005B1542"/>
    <w:rsid w:val="005B17F3"/>
    <w:rsid w:val="005B1950"/>
    <w:rsid w:val="005B2420"/>
    <w:rsid w:val="005B2F7E"/>
    <w:rsid w:val="005B34C1"/>
    <w:rsid w:val="005B411F"/>
    <w:rsid w:val="005B4AB4"/>
    <w:rsid w:val="005B4BC0"/>
    <w:rsid w:val="005B5051"/>
    <w:rsid w:val="005B615C"/>
    <w:rsid w:val="005B6AF4"/>
    <w:rsid w:val="005B6B5A"/>
    <w:rsid w:val="005C04CB"/>
    <w:rsid w:val="005C115C"/>
    <w:rsid w:val="005C11D4"/>
    <w:rsid w:val="005C25F3"/>
    <w:rsid w:val="005C327E"/>
    <w:rsid w:val="005C3C1E"/>
    <w:rsid w:val="005C4446"/>
    <w:rsid w:val="005C5212"/>
    <w:rsid w:val="005C643F"/>
    <w:rsid w:val="005C71BA"/>
    <w:rsid w:val="005C7460"/>
    <w:rsid w:val="005C781E"/>
    <w:rsid w:val="005D16AD"/>
    <w:rsid w:val="005D1B38"/>
    <w:rsid w:val="005D1E99"/>
    <w:rsid w:val="005D2A23"/>
    <w:rsid w:val="005D3B1F"/>
    <w:rsid w:val="005D4053"/>
    <w:rsid w:val="005D45D4"/>
    <w:rsid w:val="005D4BF9"/>
    <w:rsid w:val="005D51EB"/>
    <w:rsid w:val="005D59C1"/>
    <w:rsid w:val="005D61DF"/>
    <w:rsid w:val="005D6556"/>
    <w:rsid w:val="005D6EF6"/>
    <w:rsid w:val="005D72E1"/>
    <w:rsid w:val="005E03FD"/>
    <w:rsid w:val="005E1043"/>
    <w:rsid w:val="005E303C"/>
    <w:rsid w:val="005E444D"/>
    <w:rsid w:val="005E586C"/>
    <w:rsid w:val="005E5941"/>
    <w:rsid w:val="005E6835"/>
    <w:rsid w:val="005E6E16"/>
    <w:rsid w:val="005F0055"/>
    <w:rsid w:val="005F0678"/>
    <w:rsid w:val="005F0717"/>
    <w:rsid w:val="005F38F2"/>
    <w:rsid w:val="005F3FC9"/>
    <w:rsid w:val="005F400E"/>
    <w:rsid w:val="005F411F"/>
    <w:rsid w:val="005F499A"/>
    <w:rsid w:val="005F68CB"/>
    <w:rsid w:val="005F69CF"/>
    <w:rsid w:val="005F7342"/>
    <w:rsid w:val="005F7EA5"/>
    <w:rsid w:val="00603A08"/>
    <w:rsid w:val="006048B9"/>
    <w:rsid w:val="006057AD"/>
    <w:rsid w:val="0060599D"/>
    <w:rsid w:val="00605BD8"/>
    <w:rsid w:val="00605C7C"/>
    <w:rsid w:val="00605D75"/>
    <w:rsid w:val="006060F1"/>
    <w:rsid w:val="00606C88"/>
    <w:rsid w:val="00606E4C"/>
    <w:rsid w:val="00607438"/>
    <w:rsid w:val="0061004E"/>
    <w:rsid w:val="0061093E"/>
    <w:rsid w:val="00610A3C"/>
    <w:rsid w:val="0061244D"/>
    <w:rsid w:val="00617122"/>
    <w:rsid w:val="0061725D"/>
    <w:rsid w:val="00620393"/>
    <w:rsid w:val="00620FA3"/>
    <w:rsid w:val="0062112A"/>
    <w:rsid w:val="0062139C"/>
    <w:rsid w:val="006240ED"/>
    <w:rsid w:val="00625613"/>
    <w:rsid w:val="0062571E"/>
    <w:rsid w:val="00625E86"/>
    <w:rsid w:val="00627F48"/>
    <w:rsid w:val="006319AC"/>
    <w:rsid w:val="00632578"/>
    <w:rsid w:val="00632590"/>
    <w:rsid w:val="0063336C"/>
    <w:rsid w:val="006336F6"/>
    <w:rsid w:val="00633A67"/>
    <w:rsid w:val="00633ACA"/>
    <w:rsid w:val="006342FA"/>
    <w:rsid w:val="006344DE"/>
    <w:rsid w:val="006354D9"/>
    <w:rsid w:val="00636061"/>
    <w:rsid w:val="00641E92"/>
    <w:rsid w:val="00642825"/>
    <w:rsid w:val="00642A47"/>
    <w:rsid w:val="00642DA4"/>
    <w:rsid w:val="006430DA"/>
    <w:rsid w:val="006433F1"/>
    <w:rsid w:val="006448EA"/>
    <w:rsid w:val="00644A96"/>
    <w:rsid w:val="00644F9A"/>
    <w:rsid w:val="00646E7F"/>
    <w:rsid w:val="0065013C"/>
    <w:rsid w:val="0065023C"/>
    <w:rsid w:val="00650A4D"/>
    <w:rsid w:val="0065172F"/>
    <w:rsid w:val="00651DAC"/>
    <w:rsid w:val="006537E0"/>
    <w:rsid w:val="0065524A"/>
    <w:rsid w:val="00660066"/>
    <w:rsid w:val="00660BA5"/>
    <w:rsid w:val="0066266C"/>
    <w:rsid w:val="0066371F"/>
    <w:rsid w:val="00663FCF"/>
    <w:rsid w:val="00664A98"/>
    <w:rsid w:val="006652A2"/>
    <w:rsid w:val="00665B6C"/>
    <w:rsid w:val="00666581"/>
    <w:rsid w:val="0066670B"/>
    <w:rsid w:val="00667EC4"/>
    <w:rsid w:val="00671FE5"/>
    <w:rsid w:val="006723F9"/>
    <w:rsid w:val="006725A7"/>
    <w:rsid w:val="0067262B"/>
    <w:rsid w:val="00672E46"/>
    <w:rsid w:val="006731A0"/>
    <w:rsid w:val="00673A8C"/>
    <w:rsid w:val="00673AC0"/>
    <w:rsid w:val="00674009"/>
    <w:rsid w:val="00677494"/>
    <w:rsid w:val="00677ADD"/>
    <w:rsid w:val="00681754"/>
    <w:rsid w:val="00681D79"/>
    <w:rsid w:val="00681FCE"/>
    <w:rsid w:val="00684AA7"/>
    <w:rsid w:val="0068519B"/>
    <w:rsid w:val="006856F4"/>
    <w:rsid w:val="00686B1E"/>
    <w:rsid w:val="00686BFF"/>
    <w:rsid w:val="0069088B"/>
    <w:rsid w:val="006913E5"/>
    <w:rsid w:val="00692AFE"/>
    <w:rsid w:val="006937FF"/>
    <w:rsid w:val="00695DCC"/>
    <w:rsid w:val="00696591"/>
    <w:rsid w:val="006965BF"/>
    <w:rsid w:val="006974EB"/>
    <w:rsid w:val="006978B0"/>
    <w:rsid w:val="006A008E"/>
    <w:rsid w:val="006A0E84"/>
    <w:rsid w:val="006A1A72"/>
    <w:rsid w:val="006A2A39"/>
    <w:rsid w:val="006A35D8"/>
    <w:rsid w:val="006A3B2C"/>
    <w:rsid w:val="006A48A7"/>
    <w:rsid w:val="006A4F44"/>
    <w:rsid w:val="006A520C"/>
    <w:rsid w:val="006A527E"/>
    <w:rsid w:val="006B03B9"/>
    <w:rsid w:val="006B19B1"/>
    <w:rsid w:val="006B2934"/>
    <w:rsid w:val="006B2D5F"/>
    <w:rsid w:val="006B3478"/>
    <w:rsid w:val="006B3A50"/>
    <w:rsid w:val="006B3D7D"/>
    <w:rsid w:val="006B484E"/>
    <w:rsid w:val="006B499D"/>
    <w:rsid w:val="006B4BA1"/>
    <w:rsid w:val="006B4C3E"/>
    <w:rsid w:val="006B5609"/>
    <w:rsid w:val="006B5B70"/>
    <w:rsid w:val="006B5F7C"/>
    <w:rsid w:val="006B6110"/>
    <w:rsid w:val="006C1036"/>
    <w:rsid w:val="006C28E2"/>
    <w:rsid w:val="006C42E3"/>
    <w:rsid w:val="006C4E52"/>
    <w:rsid w:val="006C5CF5"/>
    <w:rsid w:val="006D00C8"/>
    <w:rsid w:val="006D0240"/>
    <w:rsid w:val="006D04A3"/>
    <w:rsid w:val="006D15E3"/>
    <w:rsid w:val="006D1ECF"/>
    <w:rsid w:val="006D2EB6"/>
    <w:rsid w:val="006D403F"/>
    <w:rsid w:val="006D7410"/>
    <w:rsid w:val="006E0232"/>
    <w:rsid w:val="006E034D"/>
    <w:rsid w:val="006E0646"/>
    <w:rsid w:val="006E1640"/>
    <w:rsid w:val="006E21C3"/>
    <w:rsid w:val="006E33FE"/>
    <w:rsid w:val="006E528D"/>
    <w:rsid w:val="006E6269"/>
    <w:rsid w:val="006E6A65"/>
    <w:rsid w:val="006E6CEC"/>
    <w:rsid w:val="006E7BCC"/>
    <w:rsid w:val="006E7F2B"/>
    <w:rsid w:val="006F0FDC"/>
    <w:rsid w:val="006F16AC"/>
    <w:rsid w:val="006F2CEA"/>
    <w:rsid w:val="006F39B7"/>
    <w:rsid w:val="006F3FE1"/>
    <w:rsid w:val="006F4A82"/>
    <w:rsid w:val="006F4ED6"/>
    <w:rsid w:val="006F50C5"/>
    <w:rsid w:val="006F7058"/>
    <w:rsid w:val="006F7A07"/>
    <w:rsid w:val="007015CE"/>
    <w:rsid w:val="007017A8"/>
    <w:rsid w:val="007018CA"/>
    <w:rsid w:val="00702547"/>
    <w:rsid w:val="00702C12"/>
    <w:rsid w:val="00702D60"/>
    <w:rsid w:val="0070373B"/>
    <w:rsid w:val="007037CC"/>
    <w:rsid w:val="007037D9"/>
    <w:rsid w:val="007037E7"/>
    <w:rsid w:val="00703DCD"/>
    <w:rsid w:val="00703ED7"/>
    <w:rsid w:val="00704274"/>
    <w:rsid w:val="00705B7C"/>
    <w:rsid w:val="00706459"/>
    <w:rsid w:val="00706625"/>
    <w:rsid w:val="00706C1B"/>
    <w:rsid w:val="007109BB"/>
    <w:rsid w:val="00711158"/>
    <w:rsid w:val="007111A1"/>
    <w:rsid w:val="007113EB"/>
    <w:rsid w:val="007117DD"/>
    <w:rsid w:val="00711FEC"/>
    <w:rsid w:val="00712181"/>
    <w:rsid w:val="007130A3"/>
    <w:rsid w:val="00713B05"/>
    <w:rsid w:val="00715085"/>
    <w:rsid w:val="0071634D"/>
    <w:rsid w:val="00717435"/>
    <w:rsid w:val="0072013A"/>
    <w:rsid w:val="00720695"/>
    <w:rsid w:val="00721F6F"/>
    <w:rsid w:val="0072225C"/>
    <w:rsid w:val="007226BE"/>
    <w:rsid w:val="007230BD"/>
    <w:rsid w:val="00723A49"/>
    <w:rsid w:val="007247BF"/>
    <w:rsid w:val="007249AE"/>
    <w:rsid w:val="00724FA4"/>
    <w:rsid w:val="00726FB5"/>
    <w:rsid w:val="00727F25"/>
    <w:rsid w:val="007301F3"/>
    <w:rsid w:val="00730800"/>
    <w:rsid w:val="00730835"/>
    <w:rsid w:val="00730F2C"/>
    <w:rsid w:val="007311E6"/>
    <w:rsid w:val="007313F6"/>
    <w:rsid w:val="0073265C"/>
    <w:rsid w:val="00732E1D"/>
    <w:rsid w:val="0073750A"/>
    <w:rsid w:val="00737902"/>
    <w:rsid w:val="00737A49"/>
    <w:rsid w:val="0074070F"/>
    <w:rsid w:val="007418FE"/>
    <w:rsid w:val="00741B45"/>
    <w:rsid w:val="00741EFE"/>
    <w:rsid w:val="00742C7C"/>
    <w:rsid w:val="00742E89"/>
    <w:rsid w:val="00743497"/>
    <w:rsid w:val="00744528"/>
    <w:rsid w:val="00745C40"/>
    <w:rsid w:val="0074718B"/>
    <w:rsid w:val="00750695"/>
    <w:rsid w:val="00750BC9"/>
    <w:rsid w:val="007510FD"/>
    <w:rsid w:val="007521E4"/>
    <w:rsid w:val="007525D8"/>
    <w:rsid w:val="00754454"/>
    <w:rsid w:val="00755AB8"/>
    <w:rsid w:val="00756F74"/>
    <w:rsid w:val="00757F82"/>
    <w:rsid w:val="007602AA"/>
    <w:rsid w:val="00760A46"/>
    <w:rsid w:val="00761347"/>
    <w:rsid w:val="00762191"/>
    <w:rsid w:val="00762960"/>
    <w:rsid w:val="00762F45"/>
    <w:rsid w:val="0076354A"/>
    <w:rsid w:val="00763CEB"/>
    <w:rsid w:val="0076450E"/>
    <w:rsid w:val="00764A2D"/>
    <w:rsid w:val="007652EF"/>
    <w:rsid w:val="00765912"/>
    <w:rsid w:val="00766C2A"/>
    <w:rsid w:val="00766FF6"/>
    <w:rsid w:val="0077094F"/>
    <w:rsid w:val="00770BFF"/>
    <w:rsid w:val="00770E4C"/>
    <w:rsid w:val="00770F73"/>
    <w:rsid w:val="00771CC5"/>
    <w:rsid w:val="00772A4D"/>
    <w:rsid w:val="00772BDC"/>
    <w:rsid w:val="00773628"/>
    <w:rsid w:val="00773A03"/>
    <w:rsid w:val="00775E40"/>
    <w:rsid w:val="0077697C"/>
    <w:rsid w:val="007771C7"/>
    <w:rsid w:val="0078009F"/>
    <w:rsid w:val="00780792"/>
    <w:rsid w:val="00782696"/>
    <w:rsid w:val="0078431F"/>
    <w:rsid w:val="00784BCE"/>
    <w:rsid w:val="0078558D"/>
    <w:rsid w:val="007855A4"/>
    <w:rsid w:val="00785BE9"/>
    <w:rsid w:val="00785EB8"/>
    <w:rsid w:val="00786987"/>
    <w:rsid w:val="0079078E"/>
    <w:rsid w:val="00790BDA"/>
    <w:rsid w:val="00791A54"/>
    <w:rsid w:val="00793022"/>
    <w:rsid w:val="0079309F"/>
    <w:rsid w:val="007950C0"/>
    <w:rsid w:val="007A1E3D"/>
    <w:rsid w:val="007A2A2F"/>
    <w:rsid w:val="007A3679"/>
    <w:rsid w:val="007A3BBC"/>
    <w:rsid w:val="007A44B4"/>
    <w:rsid w:val="007A4669"/>
    <w:rsid w:val="007A5C36"/>
    <w:rsid w:val="007A5CDA"/>
    <w:rsid w:val="007A653F"/>
    <w:rsid w:val="007A7487"/>
    <w:rsid w:val="007A79C3"/>
    <w:rsid w:val="007A7AB8"/>
    <w:rsid w:val="007A7D3D"/>
    <w:rsid w:val="007B0E77"/>
    <w:rsid w:val="007B1601"/>
    <w:rsid w:val="007B16AD"/>
    <w:rsid w:val="007B2205"/>
    <w:rsid w:val="007B225D"/>
    <w:rsid w:val="007B2BFC"/>
    <w:rsid w:val="007B63A3"/>
    <w:rsid w:val="007B7086"/>
    <w:rsid w:val="007B7FFA"/>
    <w:rsid w:val="007C0A21"/>
    <w:rsid w:val="007C13B3"/>
    <w:rsid w:val="007C1430"/>
    <w:rsid w:val="007C174F"/>
    <w:rsid w:val="007C1C64"/>
    <w:rsid w:val="007C1FF8"/>
    <w:rsid w:val="007C30D3"/>
    <w:rsid w:val="007C3125"/>
    <w:rsid w:val="007C312C"/>
    <w:rsid w:val="007C4A6A"/>
    <w:rsid w:val="007C501A"/>
    <w:rsid w:val="007C6BF5"/>
    <w:rsid w:val="007D0536"/>
    <w:rsid w:val="007D0E63"/>
    <w:rsid w:val="007D0F0D"/>
    <w:rsid w:val="007D12DC"/>
    <w:rsid w:val="007D1501"/>
    <w:rsid w:val="007D1BE0"/>
    <w:rsid w:val="007D2B5C"/>
    <w:rsid w:val="007D3C0D"/>
    <w:rsid w:val="007D4904"/>
    <w:rsid w:val="007D5A88"/>
    <w:rsid w:val="007D5FBF"/>
    <w:rsid w:val="007D6A43"/>
    <w:rsid w:val="007E0571"/>
    <w:rsid w:val="007E0C8C"/>
    <w:rsid w:val="007E1164"/>
    <w:rsid w:val="007E18B3"/>
    <w:rsid w:val="007E3A0E"/>
    <w:rsid w:val="007E439B"/>
    <w:rsid w:val="007E48BC"/>
    <w:rsid w:val="007E4A56"/>
    <w:rsid w:val="007E4E9E"/>
    <w:rsid w:val="007E532D"/>
    <w:rsid w:val="007E6866"/>
    <w:rsid w:val="007E755C"/>
    <w:rsid w:val="007E79F7"/>
    <w:rsid w:val="007F167F"/>
    <w:rsid w:val="007F231B"/>
    <w:rsid w:val="007F24AF"/>
    <w:rsid w:val="007F3630"/>
    <w:rsid w:val="007F3A88"/>
    <w:rsid w:val="007F4E1B"/>
    <w:rsid w:val="007F53C5"/>
    <w:rsid w:val="007F582B"/>
    <w:rsid w:val="007F62EB"/>
    <w:rsid w:val="007F7C5A"/>
    <w:rsid w:val="0080060E"/>
    <w:rsid w:val="00801BF3"/>
    <w:rsid w:val="00802B90"/>
    <w:rsid w:val="00803120"/>
    <w:rsid w:val="00803CDC"/>
    <w:rsid w:val="00804B55"/>
    <w:rsid w:val="00804C3A"/>
    <w:rsid w:val="00806990"/>
    <w:rsid w:val="008069B1"/>
    <w:rsid w:val="00806FDE"/>
    <w:rsid w:val="00807559"/>
    <w:rsid w:val="00807708"/>
    <w:rsid w:val="008108ED"/>
    <w:rsid w:val="008122F4"/>
    <w:rsid w:val="008129DF"/>
    <w:rsid w:val="00812F40"/>
    <w:rsid w:val="008134A7"/>
    <w:rsid w:val="00814685"/>
    <w:rsid w:val="008151CF"/>
    <w:rsid w:val="0081683B"/>
    <w:rsid w:val="00817F6F"/>
    <w:rsid w:val="00820F37"/>
    <w:rsid w:val="008220BF"/>
    <w:rsid w:val="008227E4"/>
    <w:rsid w:val="00823BFD"/>
    <w:rsid w:val="008245C0"/>
    <w:rsid w:val="0082568A"/>
    <w:rsid w:val="00826CB7"/>
    <w:rsid w:val="00827505"/>
    <w:rsid w:val="00827583"/>
    <w:rsid w:val="008276E6"/>
    <w:rsid w:val="00827E47"/>
    <w:rsid w:val="00827E90"/>
    <w:rsid w:val="008313B7"/>
    <w:rsid w:val="00832604"/>
    <w:rsid w:val="008331DF"/>
    <w:rsid w:val="00833554"/>
    <w:rsid w:val="00833790"/>
    <w:rsid w:val="008337ED"/>
    <w:rsid w:val="008345BC"/>
    <w:rsid w:val="0083492B"/>
    <w:rsid w:val="00834BDC"/>
    <w:rsid w:val="00840684"/>
    <w:rsid w:val="00840B9F"/>
    <w:rsid w:val="00842133"/>
    <w:rsid w:val="00842DCD"/>
    <w:rsid w:val="00843390"/>
    <w:rsid w:val="008450BC"/>
    <w:rsid w:val="0084560B"/>
    <w:rsid w:val="00846726"/>
    <w:rsid w:val="008468BB"/>
    <w:rsid w:val="00847AF9"/>
    <w:rsid w:val="00847BC9"/>
    <w:rsid w:val="0085015A"/>
    <w:rsid w:val="0085072B"/>
    <w:rsid w:val="00852808"/>
    <w:rsid w:val="00852A11"/>
    <w:rsid w:val="0085334B"/>
    <w:rsid w:val="008534F0"/>
    <w:rsid w:val="00854E47"/>
    <w:rsid w:val="00854FA8"/>
    <w:rsid w:val="00860E58"/>
    <w:rsid w:val="008612C4"/>
    <w:rsid w:val="00862C3F"/>
    <w:rsid w:val="00862DC2"/>
    <w:rsid w:val="0086359A"/>
    <w:rsid w:val="00863764"/>
    <w:rsid w:val="008653B5"/>
    <w:rsid w:val="00865C2C"/>
    <w:rsid w:val="00866C7E"/>
    <w:rsid w:val="00870214"/>
    <w:rsid w:val="00870331"/>
    <w:rsid w:val="00870844"/>
    <w:rsid w:val="00870893"/>
    <w:rsid w:val="008712A8"/>
    <w:rsid w:val="00871C01"/>
    <w:rsid w:val="00871CC3"/>
    <w:rsid w:val="0087216E"/>
    <w:rsid w:val="0087227A"/>
    <w:rsid w:val="00873B77"/>
    <w:rsid w:val="00875E39"/>
    <w:rsid w:val="0087616E"/>
    <w:rsid w:val="00876515"/>
    <w:rsid w:val="00877978"/>
    <w:rsid w:val="0088039E"/>
    <w:rsid w:val="0088040A"/>
    <w:rsid w:val="008811FA"/>
    <w:rsid w:val="008827AD"/>
    <w:rsid w:val="00882B7E"/>
    <w:rsid w:val="00884414"/>
    <w:rsid w:val="008850ED"/>
    <w:rsid w:val="00885C51"/>
    <w:rsid w:val="00885EB0"/>
    <w:rsid w:val="008860D5"/>
    <w:rsid w:val="00887C2F"/>
    <w:rsid w:val="00887EA9"/>
    <w:rsid w:val="00887FF6"/>
    <w:rsid w:val="00891018"/>
    <w:rsid w:val="0089264A"/>
    <w:rsid w:val="00892752"/>
    <w:rsid w:val="00892BCE"/>
    <w:rsid w:val="00892DAE"/>
    <w:rsid w:val="008931FB"/>
    <w:rsid w:val="00894613"/>
    <w:rsid w:val="00896B85"/>
    <w:rsid w:val="0089771F"/>
    <w:rsid w:val="008A1A0A"/>
    <w:rsid w:val="008A22BE"/>
    <w:rsid w:val="008A3355"/>
    <w:rsid w:val="008A5379"/>
    <w:rsid w:val="008A57C9"/>
    <w:rsid w:val="008A6846"/>
    <w:rsid w:val="008A7202"/>
    <w:rsid w:val="008A7277"/>
    <w:rsid w:val="008A72B8"/>
    <w:rsid w:val="008A7A31"/>
    <w:rsid w:val="008A7A42"/>
    <w:rsid w:val="008B0281"/>
    <w:rsid w:val="008B1045"/>
    <w:rsid w:val="008B15AC"/>
    <w:rsid w:val="008B1B0F"/>
    <w:rsid w:val="008B2D98"/>
    <w:rsid w:val="008B3388"/>
    <w:rsid w:val="008B49CA"/>
    <w:rsid w:val="008B4D0F"/>
    <w:rsid w:val="008B4DDC"/>
    <w:rsid w:val="008B5196"/>
    <w:rsid w:val="008B6230"/>
    <w:rsid w:val="008B67A2"/>
    <w:rsid w:val="008B6C65"/>
    <w:rsid w:val="008B7224"/>
    <w:rsid w:val="008C0696"/>
    <w:rsid w:val="008C0812"/>
    <w:rsid w:val="008C170A"/>
    <w:rsid w:val="008C1934"/>
    <w:rsid w:val="008C1A17"/>
    <w:rsid w:val="008C1B36"/>
    <w:rsid w:val="008C2AE6"/>
    <w:rsid w:val="008C4237"/>
    <w:rsid w:val="008C541E"/>
    <w:rsid w:val="008C6678"/>
    <w:rsid w:val="008D06C6"/>
    <w:rsid w:val="008D08A6"/>
    <w:rsid w:val="008D2BC6"/>
    <w:rsid w:val="008D32F6"/>
    <w:rsid w:val="008D3A97"/>
    <w:rsid w:val="008D3BA5"/>
    <w:rsid w:val="008D5E77"/>
    <w:rsid w:val="008D6947"/>
    <w:rsid w:val="008D7173"/>
    <w:rsid w:val="008D799C"/>
    <w:rsid w:val="008E18AB"/>
    <w:rsid w:val="008E495C"/>
    <w:rsid w:val="008E564D"/>
    <w:rsid w:val="008E5815"/>
    <w:rsid w:val="008E5CA6"/>
    <w:rsid w:val="008E6250"/>
    <w:rsid w:val="008F1A96"/>
    <w:rsid w:val="008F387B"/>
    <w:rsid w:val="008F525D"/>
    <w:rsid w:val="008F5964"/>
    <w:rsid w:val="00900EE2"/>
    <w:rsid w:val="0090115E"/>
    <w:rsid w:val="00902AF6"/>
    <w:rsid w:val="00904190"/>
    <w:rsid w:val="0090424B"/>
    <w:rsid w:val="0090522B"/>
    <w:rsid w:val="00907D4D"/>
    <w:rsid w:val="009112DF"/>
    <w:rsid w:val="0091198D"/>
    <w:rsid w:val="00911AF9"/>
    <w:rsid w:val="009121B9"/>
    <w:rsid w:val="00913C7D"/>
    <w:rsid w:val="00914030"/>
    <w:rsid w:val="00914223"/>
    <w:rsid w:val="00916818"/>
    <w:rsid w:val="00917B66"/>
    <w:rsid w:val="00920239"/>
    <w:rsid w:val="00920249"/>
    <w:rsid w:val="009212B0"/>
    <w:rsid w:val="009219B0"/>
    <w:rsid w:val="00921F57"/>
    <w:rsid w:val="00922978"/>
    <w:rsid w:val="00923626"/>
    <w:rsid w:val="00923F43"/>
    <w:rsid w:val="00924699"/>
    <w:rsid w:val="00924A54"/>
    <w:rsid w:val="00924C80"/>
    <w:rsid w:val="00924D64"/>
    <w:rsid w:val="00926CE1"/>
    <w:rsid w:val="009271A5"/>
    <w:rsid w:val="00930A7E"/>
    <w:rsid w:val="00930DD3"/>
    <w:rsid w:val="00930EE2"/>
    <w:rsid w:val="0093118B"/>
    <w:rsid w:val="0093272A"/>
    <w:rsid w:val="00932F14"/>
    <w:rsid w:val="00934404"/>
    <w:rsid w:val="0093460B"/>
    <w:rsid w:val="00934684"/>
    <w:rsid w:val="00934CFF"/>
    <w:rsid w:val="009353E6"/>
    <w:rsid w:val="00936B56"/>
    <w:rsid w:val="00937574"/>
    <w:rsid w:val="00937A50"/>
    <w:rsid w:val="00937ACF"/>
    <w:rsid w:val="00940FAF"/>
    <w:rsid w:val="00941457"/>
    <w:rsid w:val="009417C5"/>
    <w:rsid w:val="00941A40"/>
    <w:rsid w:val="0094247F"/>
    <w:rsid w:val="009425B4"/>
    <w:rsid w:val="00942D60"/>
    <w:rsid w:val="00944BA4"/>
    <w:rsid w:val="00944EEB"/>
    <w:rsid w:val="009451CA"/>
    <w:rsid w:val="00945513"/>
    <w:rsid w:val="009460F2"/>
    <w:rsid w:val="009465CF"/>
    <w:rsid w:val="00950756"/>
    <w:rsid w:val="00951DD4"/>
    <w:rsid w:val="0095227F"/>
    <w:rsid w:val="009522AD"/>
    <w:rsid w:val="0095253A"/>
    <w:rsid w:val="0095291D"/>
    <w:rsid w:val="00952CF1"/>
    <w:rsid w:val="00952D7C"/>
    <w:rsid w:val="00953743"/>
    <w:rsid w:val="00953E90"/>
    <w:rsid w:val="00953F05"/>
    <w:rsid w:val="00955777"/>
    <w:rsid w:val="0095635C"/>
    <w:rsid w:val="00961EFC"/>
    <w:rsid w:val="0096209D"/>
    <w:rsid w:val="00962A43"/>
    <w:rsid w:val="00964132"/>
    <w:rsid w:val="0096523B"/>
    <w:rsid w:val="009657B8"/>
    <w:rsid w:val="00965872"/>
    <w:rsid w:val="00965A3B"/>
    <w:rsid w:val="00965E0E"/>
    <w:rsid w:val="0096638F"/>
    <w:rsid w:val="00966EE3"/>
    <w:rsid w:val="009670F9"/>
    <w:rsid w:val="00967495"/>
    <w:rsid w:val="00967E4C"/>
    <w:rsid w:val="00970D95"/>
    <w:rsid w:val="0097195A"/>
    <w:rsid w:val="00971A5D"/>
    <w:rsid w:val="00972D06"/>
    <w:rsid w:val="00974BB8"/>
    <w:rsid w:val="00974FA9"/>
    <w:rsid w:val="009774C2"/>
    <w:rsid w:val="009808F8"/>
    <w:rsid w:val="009819C9"/>
    <w:rsid w:val="00982ED5"/>
    <w:rsid w:val="00984F88"/>
    <w:rsid w:val="00985122"/>
    <w:rsid w:val="009908E3"/>
    <w:rsid w:val="009914D8"/>
    <w:rsid w:val="00992173"/>
    <w:rsid w:val="00992474"/>
    <w:rsid w:val="009929F9"/>
    <w:rsid w:val="009940CC"/>
    <w:rsid w:val="00996981"/>
    <w:rsid w:val="009974CE"/>
    <w:rsid w:val="00997811"/>
    <w:rsid w:val="00997B47"/>
    <w:rsid w:val="009A06ED"/>
    <w:rsid w:val="009A0995"/>
    <w:rsid w:val="009A1A2D"/>
    <w:rsid w:val="009A2F2C"/>
    <w:rsid w:val="009A333D"/>
    <w:rsid w:val="009A391C"/>
    <w:rsid w:val="009A4A76"/>
    <w:rsid w:val="009A4F31"/>
    <w:rsid w:val="009A50BF"/>
    <w:rsid w:val="009A50F2"/>
    <w:rsid w:val="009A5D91"/>
    <w:rsid w:val="009B023B"/>
    <w:rsid w:val="009B02E3"/>
    <w:rsid w:val="009B38DD"/>
    <w:rsid w:val="009B4D61"/>
    <w:rsid w:val="009B4F0E"/>
    <w:rsid w:val="009B5171"/>
    <w:rsid w:val="009B539E"/>
    <w:rsid w:val="009B5574"/>
    <w:rsid w:val="009B580F"/>
    <w:rsid w:val="009B5A4F"/>
    <w:rsid w:val="009C0281"/>
    <w:rsid w:val="009C189E"/>
    <w:rsid w:val="009C196F"/>
    <w:rsid w:val="009C2425"/>
    <w:rsid w:val="009C2EDC"/>
    <w:rsid w:val="009C3B03"/>
    <w:rsid w:val="009C5A35"/>
    <w:rsid w:val="009D0C88"/>
    <w:rsid w:val="009D1085"/>
    <w:rsid w:val="009D15A5"/>
    <w:rsid w:val="009D162A"/>
    <w:rsid w:val="009D2D84"/>
    <w:rsid w:val="009D3ED3"/>
    <w:rsid w:val="009D51D6"/>
    <w:rsid w:val="009D5C5E"/>
    <w:rsid w:val="009D60D2"/>
    <w:rsid w:val="009D763A"/>
    <w:rsid w:val="009D790B"/>
    <w:rsid w:val="009E00B1"/>
    <w:rsid w:val="009E0A61"/>
    <w:rsid w:val="009E1BDC"/>
    <w:rsid w:val="009E1CE1"/>
    <w:rsid w:val="009E29E5"/>
    <w:rsid w:val="009E3010"/>
    <w:rsid w:val="009E54E5"/>
    <w:rsid w:val="009E5724"/>
    <w:rsid w:val="009E573A"/>
    <w:rsid w:val="009E5E00"/>
    <w:rsid w:val="009E66E1"/>
    <w:rsid w:val="009F007E"/>
    <w:rsid w:val="009F03AD"/>
    <w:rsid w:val="009F0C5A"/>
    <w:rsid w:val="009F1515"/>
    <w:rsid w:val="009F1DF5"/>
    <w:rsid w:val="009F2319"/>
    <w:rsid w:val="009F294B"/>
    <w:rsid w:val="009F5292"/>
    <w:rsid w:val="009F5453"/>
    <w:rsid w:val="009F5728"/>
    <w:rsid w:val="009F5B25"/>
    <w:rsid w:val="009F5ECE"/>
    <w:rsid w:val="009F7065"/>
    <w:rsid w:val="009F79FA"/>
    <w:rsid w:val="00A011E9"/>
    <w:rsid w:val="00A0323B"/>
    <w:rsid w:val="00A0357A"/>
    <w:rsid w:val="00A03D04"/>
    <w:rsid w:val="00A04648"/>
    <w:rsid w:val="00A04C58"/>
    <w:rsid w:val="00A06505"/>
    <w:rsid w:val="00A075A0"/>
    <w:rsid w:val="00A12B44"/>
    <w:rsid w:val="00A14124"/>
    <w:rsid w:val="00A14B33"/>
    <w:rsid w:val="00A1526F"/>
    <w:rsid w:val="00A15E57"/>
    <w:rsid w:val="00A1623A"/>
    <w:rsid w:val="00A20452"/>
    <w:rsid w:val="00A21A58"/>
    <w:rsid w:val="00A22008"/>
    <w:rsid w:val="00A2271D"/>
    <w:rsid w:val="00A22723"/>
    <w:rsid w:val="00A2406F"/>
    <w:rsid w:val="00A24E20"/>
    <w:rsid w:val="00A24E48"/>
    <w:rsid w:val="00A27E2F"/>
    <w:rsid w:val="00A27F56"/>
    <w:rsid w:val="00A305D7"/>
    <w:rsid w:val="00A31892"/>
    <w:rsid w:val="00A31A9E"/>
    <w:rsid w:val="00A343FE"/>
    <w:rsid w:val="00A34502"/>
    <w:rsid w:val="00A34ADF"/>
    <w:rsid w:val="00A35A55"/>
    <w:rsid w:val="00A36795"/>
    <w:rsid w:val="00A37E78"/>
    <w:rsid w:val="00A40759"/>
    <w:rsid w:val="00A408D3"/>
    <w:rsid w:val="00A40E78"/>
    <w:rsid w:val="00A4175D"/>
    <w:rsid w:val="00A419F9"/>
    <w:rsid w:val="00A441B5"/>
    <w:rsid w:val="00A44C77"/>
    <w:rsid w:val="00A45863"/>
    <w:rsid w:val="00A46212"/>
    <w:rsid w:val="00A4719D"/>
    <w:rsid w:val="00A473D0"/>
    <w:rsid w:val="00A504B0"/>
    <w:rsid w:val="00A50730"/>
    <w:rsid w:val="00A5098A"/>
    <w:rsid w:val="00A518E3"/>
    <w:rsid w:val="00A5291C"/>
    <w:rsid w:val="00A52E8C"/>
    <w:rsid w:val="00A54000"/>
    <w:rsid w:val="00A545BF"/>
    <w:rsid w:val="00A54934"/>
    <w:rsid w:val="00A55646"/>
    <w:rsid w:val="00A5639F"/>
    <w:rsid w:val="00A5688E"/>
    <w:rsid w:val="00A56DC7"/>
    <w:rsid w:val="00A56E34"/>
    <w:rsid w:val="00A575A1"/>
    <w:rsid w:val="00A602D4"/>
    <w:rsid w:val="00A607D7"/>
    <w:rsid w:val="00A61050"/>
    <w:rsid w:val="00A62319"/>
    <w:rsid w:val="00A62438"/>
    <w:rsid w:val="00A63695"/>
    <w:rsid w:val="00A646E1"/>
    <w:rsid w:val="00A65487"/>
    <w:rsid w:val="00A6581F"/>
    <w:rsid w:val="00A67CBC"/>
    <w:rsid w:val="00A7046F"/>
    <w:rsid w:val="00A709B2"/>
    <w:rsid w:val="00A712B5"/>
    <w:rsid w:val="00A71BF5"/>
    <w:rsid w:val="00A7480E"/>
    <w:rsid w:val="00A74885"/>
    <w:rsid w:val="00A74FD1"/>
    <w:rsid w:val="00A7582D"/>
    <w:rsid w:val="00A75952"/>
    <w:rsid w:val="00A75A56"/>
    <w:rsid w:val="00A76BD5"/>
    <w:rsid w:val="00A7799B"/>
    <w:rsid w:val="00A81EE5"/>
    <w:rsid w:val="00A81EE7"/>
    <w:rsid w:val="00A8393D"/>
    <w:rsid w:val="00A83B60"/>
    <w:rsid w:val="00A84A58"/>
    <w:rsid w:val="00A84E4D"/>
    <w:rsid w:val="00A851E9"/>
    <w:rsid w:val="00A85DEB"/>
    <w:rsid w:val="00A90760"/>
    <w:rsid w:val="00A91626"/>
    <w:rsid w:val="00A91DF1"/>
    <w:rsid w:val="00A92CCF"/>
    <w:rsid w:val="00A940D5"/>
    <w:rsid w:val="00A9449B"/>
    <w:rsid w:val="00A9561C"/>
    <w:rsid w:val="00A957AD"/>
    <w:rsid w:val="00A96142"/>
    <w:rsid w:val="00A96B60"/>
    <w:rsid w:val="00A97A9B"/>
    <w:rsid w:val="00A97C0A"/>
    <w:rsid w:val="00AA00A1"/>
    <w:rsid w:val="00AA0902"/>
    <w:rsid w:val="00AA17AB"/>
    <w:rsid w:val="00AA1884"/>
    <w:rsid w:val="00AA1E80"/>
    <w:rsid w:val="00AA208F"/>
    <w:rsid w:val="00AA29DE"/>
    <w:rsid w:val="00AA3253"/>
    <w:rsid w:val="00AA4DEC"/>
    <w:rsid w:val="00AA5C03"/>
    <w:rsid w:val="00AA6E9F"/>
    <w:rsid w:val="00AB0879"/>
    <w:rsid w:val="00AB0CCA"/>
    <w:rsid w:val="00AB1FCC"/>
    <w:rsid w:val="00AB56A0"/>
    <w:rsid w:val="00AB5C54"/>
    <w:rsid w:val="00AB6526"/>
    <w:rsid w:val="00AC0FC6"/>
    <w:rsid w:val="00AC2538"/>
    <w:rsid w:val="00AC2B35"/>
    <w:rsid w:val="00AC34B3"/>
    <w:rsid w:val="00AC46F5"/>
    <w:rsid w:val="00AC5DF4"/>
    <w:rsid w:val="00AC5E89"/>
    <w:rsid w:val="00AC61FD"/>
    <w:rsid w:val="00AC6BD1"/>
    <w:rsid w:val="00AC6F68"/>
    <w:rsid w:val="00AD22F9"/>
    <w:rsid w:val="00AD3C3D"/>
    <w:rsid w:val="00AD52CB"/>
    <w:rsid w:val="00AD54AF"/>
    <w:rsid w:val="00AD76D0"/>
    <w:rsid w:val="00AD7A3D"/>
    <w:rsid w:val="00AD7C54"/>
    <w:rsid w:val="00AE0176"/>
    <w:rsid w:val="00AE08F5"/>
    <w:rsid w:val="00AE0B26"/>
    <w:rsid w:val="00AE0D78"/>
    <w:rsid w:val="00AE1A4F"/>
    <w:rsid w:val="00AE3207"/>
    <w:rsid w:val="00AE47F1"/>
    <w:rsid w:val="00AE611C"/>
    <w:rsid w:val="00AE71A5"/>
    <w:rsid w:val="00AE7733"/>
    <w:rsid w:val="00AE7F53"/>
    <w:rsid w:val="00AF06FC"/>
    <w:rsid w:val="00AF0BDF"/>
    <w:rsid w:val="00AF3391"/>
    <w:rsid w:val="00AF387F"/>
    <w:rsid w:val="00AF3971"/>
    <w:rsid w:val="00AF440A"/>
    <w:rsid w:val="00AF443B"/>
    <w:rsid w:val="00AF4D4C"/>
    <w:rsid w:val="00AF5BBC"/>
    <w:rsid w:val="00B008E2"/>
    <w:rsid w:val="00B00E7F"/>
    <w:rsid w:val="00B0130C"/>
    <w:rsid w:val="00B01515"/>
    <w:rsid w:val="00B0160E"/>
    <w:rsid w:val="00B06B42"/>
    <w:rsid w:val="00B10158"/>
    <w:rsid w:val="00B10CB3"/>
    <w:rsid w:val="00B12082"/>
    <w:rsid w:val="00B126FF"/>
    <w:rsid w:val="00B13082"/>
    <w:rsid w:val="00B15A49"/>
    <w:rsid w:val="00B160F9"/>
    <w:rsid w:val="00B16C53"/>
    <w:rsid w:val="00B16D2A"/>
    <w:rsid w:val="00B170E0"/>
    <w:rsid w:val="00B173DA"/>
    <w:rsid w:val="00B2065D"/>
    <w:rsid w:val="00B20C90"/>
    <w:rsid w:val="00B20F77"/>
    <w:rsid w:val="00B21303"/>
    <w:rsid w:val="00B2189E"/>
    <w:rsid w:val="00B21DCC"/>
    <w:rsid w:val="00B23C8C"/>
    <w:rsid w:val="00B23C93"/>
    <w:rsid w:val="00B24855"/>
    <w:rsid w:val="00B24C64"/>
    <w:rsid w:val="00B24CEA"/>
    <w:rsid w:val="00B2520C"/>
    <w:rsid w:val="00B25751"/>
    <w:rsid w:val="00B25F37"/>
    <w:rsid w:val="00B26747"/>
    <w:rsid w:val="00B3110C"/>
    <w:rsid w:val="00B3157D"/>
    <w:rsid w:val="00B334A3"/>
    <w:rsid w:val="00B340A9"/>
    <w:rsid w:val="00B3496D"/>
    <w:rsid w:val="00B34CF5"/>
    <w:rsid w:val="00B35935"/>
    <w:rsid w:val="00B359DE"/>
    <w:rsid w:val="00B402AF"/>
    <w:rsid w:val="00B4054B"/>
    <w:rsid w:val="00B40B28"/>
    <w:rsid w:val="00B40F5F"/>
    <w:rsid w:val="00B4201E"/>
    <w:rsid w:val="00B426F5"/>
    <w:rsid w:val="00B42E5D"/>
    <w:rsid w:val="00B43DE7"/>
    <w:rsid w:val="00B43E52"/>
    <w:rsid w:val="00B44353"/>
    <w:rsid w:val="00B44422"/>
    <w:rsid w:val="00B44E78"/>
    <w:rsid w:val="00B45BA3"/>
    <w:rsid w:val="00B46EA0"/>
    <w:rsid w:val="00B47200"/>
    <w:rsid w:val="00B47562"/>
    <w:rsid w:val="00B50468"/>
    <w:rsid w:val="00B5088F"/>
    <w:rsid w:val="00B50960"/>
    <w:rsid w:val="00B509BE"/>
    <w:rsid w:val="00B51EB1"/>
    <w:rsid w:val="00B52BD3"/>
    <w:rsid w:val="00B53676"/>
    <w:rsid w:val="00B53A55"/>
    <w:rsid w:val="00B540CA"/>
    <w:rsid w:val="00B54641"/>
    <w:rsid w:val="00B5648F"/>
    <w:rsid w:val="00B571E5"/>
    <w:rsid w:val="00B576F7"/>
    <w:rsid w:val="00B57CF8"/>
    <w:rsid w:val="00B6035B"/>
    <w:rsid w:val="00B607ED"/>
    <w:rsid w:val="00B61E54"/>
    <w:rsid w:val="00B625AF"/>
    <w:rsid w:val="00B62BB5"/>
    <w:rsid w:val="00B63101"/>
    <w:rsid w:val="00B63359"/>
    <w:rsid w:val="00B63CE8"/>
    <w:rsid w:val="00B646C6"/>
    <w:rsid w:val="00B65082"/>
    <w:rsid w:val="00B65148"/>
    <w:rsid w:val="00B653FB"/>
    <w:rsid w:val="00B66AF4"/>
    <w:rsid w:val="00B702DE"/>
    <w:rsid w:val="00B72160"/>
    <w:rsid w:val="00B72A25"/>
    <w:rsid w:val="00B731D3"/>
    <w:rsid w:val="00B746B1"/>
    <w:rsid w:val="00B74B55"/>
    <w:rsid w:val="00B74DE0"/>
    <w:rsid w:val="00B768D0"/>
    <w:rsid w:val="00B77A3A"/>
    <w:rsid w:val="00B80A05"/>
    <w:rsid w:val="00B80BBA"/>
    <w:rsid w:val="00B80F60"/>
    <w:rsid w:val="00B817A7"/>
    <w:rsid w:val="00B82550"/>
    <w:rsid w:val="00B82636"/>
    <w:rsid w:val="00B82B79"/>
    <w:rsid w:val="00B839A3"/>
    <w:rsid w:val="00B83A71"/>
    <w:rsid w:val="00B83D13"/>
    <w:rsid w:val="00B853D2"/>
    <w:rsid w:val="00B86C1D"/>
    <w:rsid w:val="00B86D1A"/>
    <w:rsid w:val="00B87706"/>
    <w:rsid w:val="00B902BD"/>
    <w:rsid w:val="00B9035E"/>
    <w:rsid w:val="00B91D1E"/>
    <w:rsid w:val="00B91EB4"/>
    <w:rsid w:val="00B9224B"/>
    <w:rsid w:val="00B94036"/>
    <w:rsid w:val="00B9455D"/>
    <w:rsid w:val="00B9474A"/>
    <w:rsid w:val="00B95E0E"/>
    <w:rsid w:val="00B977F1"/>
    <w:rsid w:val="00BA056F"/>
    <w:rsid w:val="00BA19EE"/>
    <w:rsid w:val="00BA24E2"/>
    <w:rsid w:val="00BA313E"/>
    <w:rsid w:val="00BA3B24"/>
    <w:rsid w:val="00BA5281"/>
    <w:rsid w:val="00BA5310"/>
    <w:rsid w:val="00BA5C92"/>
    <w:rsid w:val="00BA61E6"/>
    <w:rsid w:val="00BA67F5"/>
    <w:rsid w:val="00BA6F12"/>
    <w:rsid w:val="00BA73CE"/>
    <w:rsid w:val="00BA7691"/>
    <w:rsid w:val="00BB08CF"/>
    <w:rsid w:val="00BB132D"/>
    <w:rsid w:val="00BB1F00"/>
    <w:rsid w:val="00BB2752"/>
    <w:rsid w:val="00BB2BF7"/>
    <w:rsid w:val="00BB4395"/>
    <w:rsid w:val="00BB4781"/>
    <w:rsid w:val="00BB4A77"/>
    <w:rsid w:val="00BB5364"/>
    <w:rsid w:val="00BB5C1E"/>
    <w:rsid w:val="00BB72AF"/>
    <w:rsid w:val="00BC15EC"/>
    <w:rsid w:val="00BC1DD4"/>
    <w:rsid w:val="00BC2858"/>
    <w:rsid w:val="00BC2EE6"/>
    <w:rsid w:val="00BC38B3"/>
    <w:rsid w:val="00BC3F0D"/>
    <w:rsid w:val="00BC3FD1"/>
    <w:rsid w:val="00BC4851"/>
    <w:rsid w:val="00BC4FE3"/>
    <w:rsid w:val="00BC5A36"/>
    <w:rsid w:val="00BC5F1D"/>
    <w:rsid w:val="00BC6E21"/>
    <w:rsid w:val="00BC7E12"/>
    <w:rsid w:val="00BC7F35"/>
    <w:rsid w:val="00BD0815"/>
    <w:rsid w:val="00BD0A86"/>
    <w:rsid w:val="00BD2355"/>
    <w:rsid w:val="00BD2A39"/>
    <w:rsid w:val="00BD2E80"/>
    <w:rsid w:val="00BD3133"/>
    <w:rsid w:val="00BD351D"/>
    <w:rsid w:val="00BD3A50"/>
    <w:rsid w:val="00BD3C2B"/>
    <w:rsid w:val="00BD4F83"/>
    <w:rsid w:val="00BD6000"/>
    <w:rsid w:val="00BD6145"/>
    <w:rsid w:val="00BD6724"/>
    <w:rsid w:val="00BD71DD"/>
    <w:rsid w:val="00BD76D6"/>
    <w:rsid w:val="00BD7824"/>
    <w:rsid w:val="00BD7C72"/>
    <w:rsid w:val="00BE11B8"/>
    <w:rsid w:val="00BE12D9"/>
    <w:rsid w:val="00BE31F0"/>
    <w:rsid w:val="00BE332D"/>
    <w:rsid w:val="00BE3C44"/>
    <w:rsid w:val="00BE41E0"/>
    <w:rsid w:val="00BE4C97"/>
    <w:rsid w:val="00BE5106"/>
    <w:rsid w:val="00BE57EE"/>
    <w:rsid w:val="00BE6AEB"/>
    <w:rsid w:val="00BF172D"/>
    <w:rsid w:val="00BF226F"/>
    <w:rsid w:val="00BF2FF7"/>
    <w:rsid w:val="00BF39F5"/>
    <w:rsid w:val="00BF5FA7"/>
    <w:rsid w:val="00BF68E5"/>
    <w:rsid w:val="00BF7FF0"/>
    <w:rsid w:val="00C00626"/>
    <w:rsid w:val="00C012F5"/>
    <w:rsid w:val="00C016A5"/>
    <w:rsid w:val="00C065CE"/>
    <w:rsid w:val="00C06DEB"/>
    <w:rsid w:val="00C06F17"/>
    <w:rsid w:val="00C075D5"/>
    <w:rsid w:val="00C07F06"/>
    <w:rsid w:val="00C100E6"/>
    <w:rsid w:val="00C10344"/>
    <w:rsid w:val="00C10AEC"/>
    <w:rsid w:val="00C11114"/>
    <w:rsid w:val="00C11E3A"/>
    <w:rsid w:val="00C12015"/>
    <w:rsid w:val="00C12502"/>
    <w:rsid w:val="00C12EED"/>
    <w:rsid w:val="00C142A7"/>
    <w:rsid w:val="00C14353"/>
    <w:rsid w:val="00C14FD2"/>
    <w:rsid w:val="00C154FA"/>
    <w:rsid w:val="00C202C8"/>
    <w:rsid w:val="00C20926"/>
    <w:rsid w:val="00C214C9"/>
    <w:rsid w:val="00C22706"/>
    <w:rsid w:val="00C22CD8"/>
    <w:rsid w:val="00C231FD"/>
    <w:rsid w:val="00C233FC"/>
    <w:rsid w:val="00C2357B"/>
    <w:rsid w:val="00C245EC"/>
    <w:rsid w:val="00C248D4"/>
    <w:rsid w:val="00C24E02"/>
    <w:rsid w:val="00C25805"/>
    <w:rsid w:val="00C261BF"/>
    <w:rsid w:val="00C26AC9"/>
    <w:rsid w:val="00C30A95"/>
    <w:rsid w:val="00C312DF"/>
    <w:rsid w:val="00C31617"/>
    <w:rsid w:val="00C31E92"/>
    <w:rsid w:val="00C323A2"/>
    <w:rsid w:val="00C323E4"/>
    <w:rsid w:val="00C327B0"/>
    <w:rsid w:val="00C34A7D"/>
    <w:rsid w:val="00C36578"/>
    <w:rsid w:val="00C37A2D"/>
    <w:rsid w:val="00C37FD5"/>
    <w:rsid w:val="00C40AA5"/>
    <w:rsid w:val="00C41F8E"/>
    <w:rsid w:val="00C41FAB"/>
    <w:rsid w:val="00C423AE"/>
    <w:rsid w:val="00C43211"/>
    <w:rsid w:val="00C43664"/>
    <w:rsid w:val="00C43C8B"/>
    <w:rsid w:val="00C440C8"/>
    <w:rsid w:val="00C4623E"/>
    <w:rsid w:val="00C46F70"/>
    <w:rsid w:val="00C476D0"/>
    <w:rsid w:val="00C47A4B"/>
    <w:rsid w:val="00C508E2"/>
    <w:rsid w:val="00C512B0"/>
    <w:rsid w:val="00C52D9B"/>
    <w:rsid w:val="00C53C1C"/>
    <w:rsid w:val="00C5497C"/>
    <w:rsid w:val="00C54FA5"/>
    <w:rsid w:val="00C55CCD"/>
    <w:rsid w:val="00C56694"/>
    <w:rsid w:val="00C567AB"/>
    <w:rsid w:val="00C57CE5"/>
    <w:rsid w:val="00C616D7"/>
    <w:rsid w:val="00C623CC"/>
    <w:rsid w:val="00C62C28"/>
    <w:rsid w:val="00C63D7B"/>
    <w:rsid w:val="00C64959"/>
    <w:rsid w:val="00C651DD"/>
    <w:rsid w:val="00C656DC"/>
    <w:rsid w:val="00C65B1F"/>
    <w:rsid w:val="00C670DC"/>
    <w:rsid w:val="00C676E8"/>
    <w:rsid w:val="00C70430"/>
    <w:rsid w:val="00C71265"/>
    <w:rsid w:val="00C71769"/>
    <w:rsid w:val="00C724AF"/>
    <w:rsid w:val="00C726DF"/>
    <w:rsid w:val="00C73216"/>
    <w:rsid w:val="00C738AC"/>
    <w:rsid w:val="00C73BAC"/>
    <w:rsid w:val="00C74E6B"/>
    <w:rsid w:val="00C751C3"/>
    <w:rsid w:val="00C751D1"/>
    <w:rsid w:val="00C754B0"/>
    <w:rsid w:val="00C76079"/>
    <w:rsid w:val="00C767A9"/>
    <w:rsid w:val="00C76849"/>
    <w:rsid w:val="00C76C8C"/>
    <w:rsid w:val="00C775B1"/>
    <w:rsid w:val="00C80915"/>
    <w:rsid w:val="00C820D5"/>
    <w:rsid w:val="00C82DD6"/>
    <w:rsid w:val="00C836E3"/>
    <w:rsid w:val="00C83E67"/>
    <w:rsid w:val="00C83E8E"/>
    <w:rsid w:val="00C85CE2"/>
    <w:rsid w:val="00C85DE1"/>
    <w:rsid w:val="00C85E61"/>
    <w:rsid w:val="00C86404"/>
    <w:rsid w:val="00C86577"/>
    <w:rsid w:val="00C870A2"/>
    <w:rsid w:val="00C87AC9"/>
    <w:rsid w:val="00C90006"/>
    <w:rsid w:val="00C90062"/>
    <w:rsid w:val="00C904B2"/>
    <w:rsid w:val="00C924A6"/>
    <w:rsid w:val="00C926B8"/>
    <w:rsid w:val="00C92E07"/>
    <w:rsid w:val="00C933AB"/>
    <w:rsid w:val="00C938B3"/>
    <w:rsid w:val="00C93F43"/>
    <w:rsid w:val="00C94942"/>
    <w:rsid w:val="00C94C40"/>
    <w:rsid w:val="00C9520F"/>
    <w:rsid w:val="00C95D29"/>
    <w:rsid w:val="00C96235"/>
    <w:rsid w:val="00C96868"/>
    <w:rsid w:val="00C96A50"/>
    <w:rsid w:val="00C96DD0"/>
    <w:rsid w:val="00CA0416"/>
    <w:rsid w:val="00CA2CF4"/>
    <w:rsid w:val="00CA3295"/>
    <w:rsid w:val="00CA340F"/>
    <w:rsid w:val="00CA529A"/>
    <w:rsid w:val="00CA583B"/>
    <w:rsid w:val="00CA63FA"/>
    <w:rsid w:val="00CA7B47"/>
    <w:rsid w:val="00CB0412"/>
    <w:rsid w:val="00CB0B4B"/>
    <w:rsid w:val="00CB1325"/>
    <w:rsid w:val="00CB1948"/>
    <w:rsid w:val="00CB1FD7"/>
    <w:rsid w:val="00CB22BE"/>
    <w:rsid w:val="00CB31EA"/>
    <w:rsid w:val="00CB357D"/>
    <w:rsid w:val="00CB3CE6"/>
    <w:rsid w:val="00CB411D"/>
    <w:rsid w:val="00CB4481"/>
    <w:rsid w:val="00CB6A05"/>
    <w:rsid w:val="00CB7687"/>
    <w:rsid w:val="00CC0D08"/>
    <w:rsid w:val="00CC1514"/>
    <w:rsid w:val="00CC1BFD"/>
    <w:rsid w:val="00CC36FA"/>
    <w:rsid w:val="00CC3E4B"/>
    <w:rsid w:val="00CC482C"/>
    <w:rsid w:val="00CC560B"/>
    <w:rsid w:val="00CC5A67"/>
    <w:rsid w:val="00CC6CDB"/>
    <w:rsid w:val="00CC71AD"/>
    <w:rsid w:val="00CC72EC"/>
    <w:rsid w:val="00CC75E2"/>
    <w:rsid w:val="00CD0046"/>
    <w:rsid w:val="00CD1F09"/>
    <w:rsid w:val="00CD2721"/>
    <w:rsid w:val="00CD27AE"/>
    <w:rsid w:val="00CD291F"/>
    <w:rsid w:val="00CD2C75"/>
    <w:rsid w:val="00CD3451"/>
    <w:rsid w:val="00CD3D0E"/>
    <w:rsid w:val="00CD46EB"/>
    <w:rsid w:val="00CD597D"/>
    <w:rsid w:val="00CD7CDC"/>
    <w:rsid w:val="00CD7EBF"/>
    <w:rsid w:val="00CE0265"/>
    <w:rsid w:val="00CE0E19"/>
    <w:rsid w:val="00CE1773"/>
    <w:rsid w:val="00CE25C8"/>
    <w:rsid w:val="00CE2FCC"/>
    <w:rsid w:val="00CE3269"/>
    <w:rsid w:val="00CE4780"/>
    <w:rsid w:val="00CE60E3"/>
    <w:rsid w:val="00CE7B9D"/>
    <w:rsid w:val="00CF0423"/>
    <w:rsid w:val="00CF0D95"/>
    <w:rsid w:val="00CF1527"/>
    <w:rsid w:val="00CF39F9"/>
    <w:rsid w:val="00CF57A5"/>
    <w:rsid w:val="00CF5D8D"/>
    <w:rsid w:val="00CF73A0"/>
    <w:rsid w:val="00CF7837"/>
    <w:rsid w:val="00CF7F6B"/>
    <w:rsid w:val="00D00D39"/>
    <w:rsid w:val="00D00FF8"/>
    <w:rsid w:val="00D0288E"/>
    <w:rsid w:val="00D03E18"/>
    <w:rsid w:val="00D056F1"/>
    <w:rsid w:val="00D0580C"/>
    <w:rsid w:val="00D05FCE"/>
    <w:rsid w:val="00D062E4"/>
    <w:rsid w:val="00D11171"/>
    <w:rsid w:val="00D111AA"/>
    <w:rsid w:val="00D11930"/>
    <w:rsid w:val="00D13F91"/>
    <w:rsid w:val="00D14405"/>
    <w:rsid w:val="00D1540E"/>
    <w:rsid w:val="00D15A7F"/>
    <w:rsid w:val="00D15E17"/>
    <w:rsid w:val="00D17208"/>
    <w:rsid w:val="00D17383"/>
    <w:rsid w:val="00D1750E"/>
    <w:rsid w:val="00D178FA"/>
    <w:rsid w:val="00D17AD6"/>
    <w:rsid w:val="00D207FB"/>
    <w:rsid w:val="00D20907"/>
    <w:rsid w:val="00D20A69"/>
    <w:rsid w:val="00D2183A"/>
    <w:rsid w:val="00D22653"/>
    <w:rsid w:val="00D228A8"/>
    <w:rsid w:val="00D22D2F"/>
    <w:rsid w:val="00D22F3C"/>
    <w:rsid w:val="00D23DB6"/>
    <w:rsid w:val="00D24026"/>
    <w:rsid w:val="00D24E8C"/>
    <w:rsid w:val="00D2515C"/>
    <w:rsid w:val="00D2561D"/>
    <w:rsid w:val="00D26643"/>
    <w:rsid w:val="00D30BFF"/>
    <w:rsid w:val="00D30FF7"/>
    <w:rsid w:val="00D318F1"/>
    <w:rsid w:val="00D31CF0"/>
    <w:rsid w:val="00D31E62"/>
    <w:rsid w:val="00D3271E"/>
    <w:rsid w:val="00D32E6E"/>
    <w:rsid w:val="00D33BC0"/>
    <w:rsid w:val="00D33F16"/>
    <w:rsid w:val="00D3441B"/>
    <w:rsid w:val="00D34BDC"/>
    <w:rsid w:val="00D353E3"/>
    <w:rsid w:val="00D366EC"/>
    <w:rsid w:val="00D36A7A"/>
    <w:rsid w:val="00D400C0"/>
    <w:rsid w:val="00D40CE1"/>
    <w:rsid w:val="00D42322"/>
    <w:rsid w:val="00D43FE6"/>
    <w:rsid w:val="00D4409C"/>
    <w:rsid w:val="00D442C7"/>
    <w:rsid w:val="00D45289"/>
    <w:rsid w:val="00D45457"/>
    <w:rsid w:val="00D465FC"/>
    <w:rsid w:val="00D467FD"/>
    <w:rsid w:val="00D469A5"/>
    <w:rsid w:val="00D46AAF"/>
    <w:rsid w:val="00D47175"/>
    <w:rsid w:val="00D476F4"/>
    <w:rsid w:val="00D479C0"/>
    <w:rsid w:val="00D5195F"/>
    <w:rsid w:val="00D51A95"/>
    <w:rsid w:val="00D529ED"/>
    <w:rsid w:val="00D531FF"/>
    <w:rsid w:val="00D557F9"/>
    <w:rsid w:val="00D55AD9"/>
    <w:rsid w:val="00D5610B"/>
    <w:rsid w:val="00D56D4A"/>
    <w:rsid w:val="00D5777F"/>
    <w:rsid w:val="00D57D17"/>
    <w:rsid w:val="00D60568"/>
    <w:rsid w:val="00D605FF"/>
    <w:rsid w:val="00D60780"/>
    <w:rsid w:val="00D61469"/>
    <w:rsid w:val="00D61B09"/>
    <w:rsid w:val="00D620E1"/>
    <w:rsid w:val="00D62CD8"/>
    <w:rsid w:val="00D63FBF"/>
    <w:rsid w:val="00D6460F"/>
    <w:rsid w:val="00D66FDE"/>
    <w:rsid w:val="00D6792D"/>
    <w:rsid w:val="00D70C7A"/>
    <w:rsid w:val="00D70EF6"/>
    <w:rsid w:val="00D71515"/>
    <w:rsid w:val="00D71DE6"/>
    <w:rsid w:val="00D73931"/>
    <w:rsid w:val="00D754D6"/>
    <w:rsid w:val="00D75969"/>
    <w:rsid w:val="00D76140"/>
    <w:rsid w:val="00D7659F"/>
    <w:rsid w:val="00D76DBC"/>
    <w:rsid w:val="00D7757C"/>
    <w:rsid w:val="00D80F48"/>
    <w:rsid w:val="00D81D38"/>
    <w:rsid w:val="00D81DBD"/>
    <w:rsid w:val="00D83499"/>
    <w:rsid w:val="00D83879"/>
    <w:rsid w:val="00D839EE"/>
    <w:rsid w:val="00D84170"/>
    <w:rsid w:val="00D8470F"/>
    <w:rsid w:val="00D858E7"/>
    <w:rsid w:val="00D863A0"/>
    <w:rsid w:val="00D9113E"/>
    <w:rsid w:val="00D9235A"/>
    <w:rsid w:val="00D93037"/>
    <w:rsid w:val="00D95C8E"/>
    <w:rsid w:val="00D95D62"/>
    <w:rsid w:val="00D95FBC"/>
    <w:rsid w:val="00D96EB0"/>
    <w:rsid w:val="00D97380"/>
    <w:rsid w:val="00D973FB"/>
    <w:rsid w:val="00D9796C"/>
    <w:rsid w:val="00D97FFB"/>
    <w:rsid w:val="00DA05F6"/>
    <w:rsid w:val="00DA0FF9"/>
    <w:rsid w:val="00DA10A8"/>
    <w:rsid w:val="00DA2671"/>
    <w:rsid w:val="00DA3827"/>
    <w:rsid w:val="00DA3BD0"/>
    <w:rsid w:val="00DA557A"/>
    <w:rsid w:val="00DA5656"/>
    <w:rsid w:val="00DA5F03"/>
    <w:rsid w:val="00DB0EA9"/>
    <w:rsid w:val="00DB1288"/>
    <w:rsid w:val="00DB1972"/>
    <w:rsid w:val="00DB19C7"/>
    <w:rsid w:val="00DB19DE"/>
    <w:rsid w:val="00DB1A1D"/>
    <w:rsid w:val="00DB1A34"/>
    <w:rsid w:val="00DB1BA7"/>
    <w:rsid w:val="00DB1E08"/>
    <w:rsid w:val="00DB2973"/>
    <w:rsid w:val="00DB2EED"/>
    <w:rsid w:val="00DB324A"/>
    <w:rsid w:val="00DB3F87"/>
    <w:rsid w:val="00DB4CBB"/>
    <w:rsid w:val="00DB527E"/>
    <w:rsid w:val="00DB566B"/>
    <w:rsid w:val="00DB64F6"/>
    <w:rsid w:val="00DB70A7"/>
    <w:rsid w:val="00DB7443"/>
    <w:rsid w:val="00DB7A08"/>
    <w:rsid w:val="00DB7DBF"/>
    <w:rsid w:val="00DB7F14"/>
    <w:rsid w:val="00DC0E0F"/>
    <w:rsid w:val="00DC105E"/>
    <w:rsid w:val="00DC147E"/>
    <w:rsid w:val="00DC1AF8"/>
    <w:rsid w:val="00DC1B56"/>
    <w:rsid w:val="00DC2129"/>
    <w:rsid w:val="00DC21E5"/>
    <w:rsid w:val="00DC25E3"/>
    <w:rsid w:val="00DC2B0D"/>
    <w:rsid w:val="00DC325F"/>
    <w:rsid w:val="00DC3C72"/>
    <w:rsid w:val="00DC3D5C"/>
    <w:rsid w:val="00DC4FB7"/>
    <w:rsid w:val="00DC55D3"/>
    <w:rsid w:val="00DC5EFF"/>
    <w:rsid w:val="00DC603C"/>
    <w:rsid w:val="00DC6194"/>
    <w:rsid w:val="00DC6570"/>
    <w:rsid w:val="00DC6D8B"/>
    <w:rsid w:val="00DC7B31"/>
    <w:rsid w:val="00DC7FB4"/>
    <w:rsid w:val="00DD0BAD"/>
    <w:rsid w:val="00DD2A2A"/>
    <w:rsid w:val="00DD362B"/>
    <w:rsid w:val="00DD3C5E"/>
    <w:rsid w:val="00DD4813"/>
    <w:rsid w:val="00DD5289"/>
    <w:rsid w:val="00DD5428"/>
    <w:rsid w:val="00DD7372"/>
    <w:rsid w:val="00DE028B"/>
    <w:rsid w:val="00DE0DA5"/>
    <w:rsid w:val="00DE108C"/>
    <w:rsid w:val="00DE2677"/>
    <w:rsid w:val="00DE298F"/>
    <w:rsid w:val="00DE3568"/>
    <w:rsid w:val="00DE449F"/>
    <w:rsid w:val="00DE5025"/>
    <w:rsid w:val="00DE5D31"/>
    <w:rsid w:val="00DE6C26"/>
    <w:rsid w:val="00DE79D9"/>
    <w:rsid w:val="00DF01D9"/>
    <w:rsid w:val="00DF25C3"/>
    <w:rsid w:val="00DF26E3"/>
    <w:rsid w:val="00DF348C"/>
    <w:rsid w:val="00DF43A4"/>
    <w:rsid w:val="00DF4680"/>
    <w:rsid w:val="00DF4BC4"/>
    <w:rsid w:val="00DF5732"/>
    <w:rsid w:val="00DF574E"/>
    <w:rsid w:val="00DF5954"/>
    <w:rsid w:val="00E010E2"/>
    <w:rsid w:val="00E01227"/>
    <w:rsid w:val="00E03703"/>
    <w:rsid w:val="00E04062"/>
    <w:rsid w:val="00E04A2D"/>
    <w:rsid w:val="00E0548F"/>
    <w:rsid w:val="00E0571A"/>
    <w:rsid w:val="00E05B4A"/>
    <w:rsid w:val="00E063C6"/>
    <w:rsid w:val="00E07532"/>
    <w:rsid w:val="00E10DF4"/>
    <w:rsid w:val="00E11CB4"/>
    <w:rsid w:val="00E12464"/>
    <w:rsid w:val="00E12DDF"/>
    <w:rsid w:val="00E132F7"/>
    <w:rsid w:val="00E13E2C"/>
    <w:rsid w:val="00E14811"/>
    <w:rsid w:val="00E151A2"/>
    <w:rsid w:val="00E16296"/>
    <w:rsid w:val="00E1675C"/>
    <w:rsid w:val="00E1787A"/>
    <w:rsid w:val="00E178FB"/>
    <w:rsid w:val="00E2003B"/>
    <w:rsid w:val="00E203C2"/>
    <w:rsid w:val="00E2099D"/>
    <w:rsid w:val="00E20C33"/>
    <w:rsid w:val="00E22A56"/>
    <w:rsid w:val="00E23E17"/>
    <w:rsid w:val="00E24068"/>
    <w:rsid w:val="00E24400"/>
    <w:rsid w:val="00E25374"/>
    <w:rsid w:val="00E258CF"/>
    <w:rsid w:val="00E26104"/>
    <w:rsid w:val="00E265A9"/>
    <w:rsid w:val="00E26641"/>
    <w:rsid w:val="00E271F7"/>
    <w:rsid w:val="00E279D8"/>
    <w:rsid w:val="00E31762"/>
    <w:rsid w:val="00E319B1"/>
    <w:rsid w:val="00E32255"/>
    <w:rsid w:val="00E3347E"/>
    <w:rsid w:val="00E342D8"/>
    <w:rsid w:val="00E34761"/>
    <w:rsid w:val="00E3530D"/>
    <w:rsid w:val="00E358E7"/>
    <w:rsid w:val="00E367BE"/>
    <w:rsid w:val="00E375FD"/>
    <w:rsid w:val="00E407D5"/>
    <w:rsid w:val="00E40ED4"/>
    <w:rsid w:val="00E4229B"/>
    <w:rsid w:val="00E42F9A"/>
    <w:rsid w:val="00E446C6"/>
    <w:rsid w:val="00E44E0D"/>
    <w:rsid w:val="00E46034"/>
    <w:rsid w:val="00E4740D"/>
    <w:rsid w:val="00E50697"/>
    <w:rsid w:val="00E506EF"/>
    <w:rsid w:val="00E51047"/>
    <w:rsid w:val="00E51AC8"/>
    <w:rsid w:val="00E53604"/>
    <w:rsid w:val="00E538D0"/>
    <w:rsid w:val="00E5492F"/>
    <w:rsid w:val="00E54FAA"/>
    <w:rsid w:val="00E55CFC"/>
    <w:rsid w:val="00E56326"/>
    <w:rsid w:val="00E56E4C"/>
    <w:rsid w:val="00E573EF"/>
    <w:rsid w:val="00E57C36"/>
    <w:rsid w:val="00E6067F"/>
    <w:rsid w:val="00E60C6F"/>
    <w:rsid w:val="00E617BB"/>
    <w:rsid w:val="00E61EE0"/>
    <w:rsid w:val="00E6209D"/>
    <w:rsid w:val="00E622CD"/>
    <w:rsid w:val="00E62DBE"/>
    <w:rsid w:val="00E62DEF"/>
    <w:rsid w:val="00E64A1F"/>
    <w:rsid w:val="00E64D1F"/>
    <w:rsid w:val="00E6507E"/>
    <w:rsid w:val="00E6673E"/>
    <w:rsid w:val="00E67066"/>
    <w:rsid w:val="00E679FC"/>
    <w:rsid w:val="00E70A86"/>
    <w:rsid w:val="00E7174F"/>
    <w:rsid w:val="00E7191C"/>
    <w:rsid w:val="00E73212"/>
    <w:rsid w:val="00E73389"/>
    <w:rsid w:val="00E73CD3"/>
    <w:rsid w:val="00E74260"/>
    <w:rsid w:val="00E7486B"/>
    <w:rsid w:val="00E759F1"/>
    <w:rsid w:val="00E770E7"/>
    <w:rsid w:val="00E775B2"/>
    <w:rsid w:val="00E777EC"/>
    <w:rsid w:val="00E77861"/>
    <w:rsid w:val="00E77B03"/>
    <w:rsid w:val="00E80FCD"/>
    <w:rsid w:val="00E844C4"/>
    <w:rsid w:val="00E859A8"/>
    <w:rsid w:val="00E87E20"/>
    <w:rsid w:val="00E906B9"/>
    <w:rsid w:val="00E90B53"/>
    <w:rsid w:val="00E91168"/>
    <w:rsid w:val="00E911FE"/>
    <w:rsid w:val="00E922AB"/>
    <w:rsid w:val="00E92A56"/>
    <w:rsid w:val="00E92D55"/>
    <w:rsid w:val="00E941CC"/>
    <w:rsid w:val="00E9435B"/>
    <w:rsid w:val="00E94C49"/>
    <w:rsid w:val="00E94D3B"/>
    <w:rsid w:val="00E953AC"/>
    <w:rsid w:val="00E95EC9"/>
    <w:rsid w:val="00E971A9"/>
    <w:rsid w:val="00E97804"/>
    <w:rsid w:val="00EA052E"/>
    <w:rsid w:val="00EA15D3"/>
    <w:rsid w:val="00EA20FF"/>
    <w:rsid w:val="00EA301B"/>
    <w:rsid w:val="00EA35D4"/>
    <w:rsid w:val="00EA3667"/>
    <w:rsid w:val="00EA5530"/>
    <w:rsid w:val="00EA6255"/>
    <w:rsid w:val="00EA7E7A"/>
    <w:rsid w:val="00EA7F2F"/>
    <w:rsid w:val="00EB0442"/>
    <w:rsid w:val="00EB2F9A"/>
    <w:rsid w:val="00EB3CA5"/>
    <w:rsid w:val="00EB3D32"/>
    <w:rsid w:val="00EB41C7"/>
    <w:rsid w:val="00EB45E0"/>
    <w:rsid w:val="00EB5579"/>
    <w:rsid w:val="00EC00DE"/>
    <w:rsid w:val="00EC09A2"/>
    <w:rsid w:val="00EC2C38"/>
    <w:rsid w:val="00EC2CAD"/>
    <w:rsid w:val="00EC30E1"/>
    <w:rsid w:val="00EC38DD"/>
    <w:rsid w:val="00EC3B3C"/>
    <w:rsid w:val="00EC4FFA"/>
    <w:rsid w:val="00EC50F8"/>
    <w:rsid w:val="00EC7320"/>
    <w:rsid w:val="00EC77F9"/>
    <w:rsid w:val="00EC78BE"/>
    <w:rsid w:val="00EC7BC2"/>
    <w:rsid w:val="00ED0BEB"/>
    <w:rsid w:val="00ED0D07"/>
    <w:rsid w:val="00ED0EE3"/>
    <w:rsid w:val="00ED1719"/>
    <w:rsid w:val="00ED172A"/>
    <w:rsid w:val="00ED1937"/>
    <w:rsid w:val="00ED23EF"/>
    <w:rsid w:val="00ED29B8"/>
    <w:rsid w:val="00ED473C"/>
    <w:rsid w:val="00ED4784"/>
    <w:rsid w:val="00ED4DD9"/>
    <w:rsid w:val="00ED57EE"/>
    <w:rsid w:val="00ED6D72"/>
    <w:rsid w:val="00EE03A0"/>
    <w:rsid w:val="00EE0536"/>
    <w:rsid w:val="00EE0DEE"/>
    <w:rsid w:val="00EE1BCE"/>
    <w:rsid w:val="00EE1E10"/>
    <w:rsid w:val="00EE22C0"/>
    <w:rsid w:val="00EE23BE"/>
    <w:rsid w:val="00EE2B53"/>
    <w:rsid w:val="00EE30EC"/>
    <w:rsid w:val="00EE4551"/>
    <w:rsid w:val="00EE5058"/>
    <w:rsid w:val="00EE5098"/>
    <w:rsid w:val="00EE6E6C"/>
    <w:rsid w:val="00EF0608"/>
    <w:rsid w:val="00EF0633"/>
    <w:rsid w:val="00EF0655"/>
    <w:rsid w:val="00EF0F20"/>
    <w:rsid w:val="00EF2D99"/>
    <w:rsid w:val="00EF3678"/>
    <w:rsid w:val="00EF3E13"/>
    <w:rsid w:val="00EF3F97"/>
    <w:rsid w:val="00EF4626"/>
    <w:rsid w:val="00EF507B"/>
    <w:rsid w:val="00EF52DE"/>
    <w:rsid w:val="00EF5AB8"/>
    <w:rsid w:val="00EF6021"/>
    <w:rsid w:val="00EF63BC"/>
    <w:rsid w:val="00EF7087"/>
    <w:rsid w:val="00F004AA"/>
    <w:rsid w:val="00F01248"/>
    <w:rsid w:val="00F02EA0"/>
    <w:rsid w:val="00F038E8"/>
    <w:rsid w:val="00F04661"/>
    <w:rsid w:val="00F049A3"/>
    <w:rsid w:val="00F054F8"/>
    <w:rsid w:val="00F05B1E"/>
    <w:rsid w:val="00F06A52"/>
    <w:rsid w:val="00F0744F"/>
    <w:rsid w:val="00F0747C"/>
    <w:rsid w:val="00F0750B"/>
    <w:rsid w:val="00F07864"/>
    <w:rsid w:val="00F1063A"/>
    <w:rsid w:val="00F116C0"/>
    <w:rsid w:val="00F11848"/>
    <w:rsid w:val="00F129FB"/>
    <w:rsid w:val="00F12C40"/>
    <w:rsid w:val="00F141B4"/>
    <w:rsid w:val="00F14758"/>
    <w:rsid w:val="00F148F6"/>
    <w:rsid w:val="00F14A8C"/>
    <w:rsid w:val="00F14BEC"/>
    <w:rsid w:val="00F14FAC"/>
    <w:rsid w:val="00F15D1F"/>
    <w:rsid w:val="00F1638C"/>
    <w:rsid w:val="00F168D2"/>
    <w:rsid w:val="00F1730C"/>
    <w:rsid w:val="00F202CC"/>
    <w:rsid w:val="00F21B97"/>
    <w:rsid w:val="00F225C5"/>
    <w:rsid w:val="00F23A44"/>
    <w:rsid w:val="00F23A6E"/>
    <w:rsid w:val="00F244F8"/>
    <w:rsid w:val="00F24A1D"/>
    <w:rsid w:val="00F2587A"/>
    <w:rsid w:val="00F258C0"/>
    <w:rsid w:val="00F2633C"/>
    <w:rsid w:val="00F27CEF"/>
    <w:rsid w:val="00F30DBB"/>
    <w:rsid w:val="00F30E5F"/>
    <w:rsid w:val="00F31F5F"/>
    <w:rsid w:val="00F323BB"/>
    <w:rsid w:val="00F331C7"/>
    <w:rsid w:val="00F339F1"/>
    <w:rsid w:val="00F345DB"/>
    <w:rsid w:val="00F35B3A"/>
    <w:rsid w:val="00F3715D"/>
    <w:rsid w:val="00F37348"/>
    <w:rsid w:val="00F40C38"/>
    <w:rsid w:val="00F41F8C"/>
    <w:rsid w:val="00F420C8"/>
    <w:rsid w:val="00F42A4C"/>
    <w:rsid w:val="00F4360B"/>
    <w:rsid w:val="00F436C8"/>
    <w:rsid w:val="00F439B1"/>
    <w:rsid w:val="00F44168"/>
    <w:rsid w:val="00F447DB"/>
    <w:rsid w:val="00F44E5C"/>
    <w:rsid w:val="00F466B1"/>
    <w:rsid w:val="00F46AC7"/>
    <w:rsid w:val="00F47865"/>
    <w:rsid w:val="00F506F3"/>
    <w:rsid w:val="00F507DD"/>
    <w:rsid w:val="00F51480"/>
    <w:rsid w:val="00F517F2"/>
    <w:rsid w:val="00F53AA2"/>
    <w:rsid w:val="00F54EA0"/>
    <w:rsid w:val="00F55084"/>
    <w:rsid w:val="00F56A79"/>
    <w:rsid w:val="00F56D54"/>
    <w:rsid w:val="00F57D46"/>
    <w:rsid w:val="00F57FB1"/>
    <w:rsid w:val="00F60202"/>
    <w:rsid w:val="00F604DE"/>
    <w:rsid w:val="00F61805"/>
    <w:rsid w:val="00F620EE"/>
    <w:rsid w:val="00F6261B"/>
    <w:rsid w:val="00F62BE1"/>
    <w:rsid w:val="00F64653"/>
    <w:rsid w:val="00F64B48"/>
    <w:rsid w:val="00F64B9F"/>
    <w:rsid w:val="00F65FB0"/>
    <w:rsid w:val="00F67AB3"/>
    <w:rsid w:val="00F70A3C"/>
    <w:rsid w:val="00F71092"/>
    <w:rsid w:val="00F7294C"/>
    <w:rsid w:val="00F76906"/>
    <w:rsid w:val="00F77C71"/>
    <w:rsid w:val="00F77CD8"/>
    <w:rsid w:val="00F80A1A"/>
    <w:rsid w:val="00F8183A"/>
    <w:rsid w:val="00F82B59"/>
    <w:rsid w:val="00F83382"/>
    <w:rsid w:val="00F83481"/>
    <w:rsid w:val="00F8389D"/>
    <w:rsid w:val="00F83B8D"/>
    <w:rsid w:val="00F863AA"/>
    <w:rsid w:val="00F86AF0"/>
    <w:rsid w:val="00F87AFD"/>
    <w:rsid w:val="00F900D5"/>
    <w:rsid w:val="00F901A2"/>
    <w:rsid w:val="00F9104D"/>
    <w:rsid w:val="00F91153"/>
    <w:rsid w:val="00F92205"/>
    <w:rsid w:val="00F92AC0"/>
    <w:rsid w:val="00F93747"/>
    <w:rsid w:val="00F93840"/>
    <w:rsid w:val="00F93917"/>
    <w:rsid w:val="00F93B61"/>
    <w:rsid w:val="00F93BAD"/>
    <w:rsid w:val="00F94CC9"/>
    <w:rsid w:val="00F95BC1"/>
    <w:rsid w:val="00F97355"/>
    <w:rsid w:val="00F9786F"/>
    <w:rsid w:val="00F97F1C"/>
    <w:rsid w:val="00FA0EE9"/>
    <w:rsid w:val="00FA1216"/>
    <w:rsid w:val="00FA1645"/>
    <w:rsid w:val="00FA300E"/>
    <w:rsid w:val="00FA36BD"/>
    <w:rsid w:val="00FA3DD5"/>
    <w:rsid w:val="00FA502F"/>
    <w:rsid w:val="00FA6237"/>
    <w:rsid w:val="00FA7CF9"/>
    <w:rsid w:val="00FA7DBE"/>
    <w:rsid w:val="00FB03F7"/>
    <w:rsid w:val="00FB1533"/>
    <w:rsid w:val="00FB183F"/>
    <w:rsid w:val="00FB276B"/>
    <w:rsid w:val="00FB30DE"/>
    <w:rsid w:val="00FB3836"/>
    <w:rsid w:val="00FB3C07"/>
    <w:rsid w:val="00FB3DB9"/>
    <w:rsid w:val="00FB4673"/>
    <w:rsid w:val="00FB53F0"/>
    <w:rsid w:val="00FB7512"/>
    <w:rsid w:val="00FC04CC"/>
    <w:rsid w:val="00FC1A0E"/>
    <w:rsid w:val="00FC1E64"/>
    <w:rsid w:val="00FC39E9"/>
    <w:rsid w:val="00FC7BBE"/>
    <w:rsid w:val="00FC7BFB"/>
    <w:rsid w:val="00FD049E"/>
    <w:rsid w:val="00FD099B"/>
    <w:rsid w:val="00FD0EEC"/>
    <w:rsid w:val="00FD1569"/>
    <w:rsid w:val="00FD16FF"/>
    <w:rsid w:val="00FD28AC"/>
    <w:rsid w:val="00FD2FBE"/>
    <w:rsid w:val="00FD3CB7"/>
    <w:rsid w:val="00FD42D4"/>
    <w:rsid w:val="00FD7547"/>
    <w:rsid w:val="00FE1ABC"/>
    <w:rsid w:val="00FE3A2F"/>
    <w:rsid w:val="00FE4C46"/>
    <w:rsid w:val="00FE4F58"/>
    <w:rsid w:val="00FE5186"/>
    <w:rsid w:val="00FE6CCF"/>
    <w:rsid w:val="00FF0D17"/>
    <w:rsid w:val="00FF22F7"/>
    <w:rsid w:val="00FF36CE"/>
    <w:rsid w:val="00FF4C9B"/>
    <w:rsid w:val="00FF4F8B"/>
    <w:rsid w:val="00FF5631"/>
    <w:rsid w:val="00FF5F5C"/>
    <w:rsid w:val="00FF64E9"/>
    <w:rsid w:val="00FF729A"/>
    <w:rsid w:val="00FF77ED"/>
    <w:rsid w:val="00FF7A4B"/>
    <w:rsid w:val="00FF7C77"/>
    <w:rsid w:val="00FF7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6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441B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A441B5"/>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7321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E7321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A441B5"/>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A441B5"/>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A441B5"/>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9"/>
    <w:rsid w:val="00E7321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9"/>
    <w:rsid w:val="00E7321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9"/>
    <w:rsid w:val="00A441B5"/>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9"/>
    <w:rsid w:val="00A441B5"/>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7111A1"/>
    <w:pPr>
      <w:tabs>
        <w:tab w:val="right" w:leader="dot" w:pos="9016"/>
      </w:tabs>
      <w:ind w:left="284" w:firstLine="142"/>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A441B5"/>
    <w:pPr>
      <w:widowControl/>
      <w:numPr>
        <w:numId w:val="6"/>
      </w:numPr>
    </w:pPr>
    <w:rPr>
      <w:rFonts w:cs="Arial"/>
      <w:lang w:bidi="ar-SA"/>
    </w:rPr>
  </w:style>
  <w:style w:type="character" w:customStyle="1" w:styleId="FSBullet1Char">
    <w:name w:val="FSBullet 1 Char"/>
    <w:basedOn w:val="DefaultParagraphFont"/>
    <w:link w:val="FSBullet1"/>
    <w:rsid w:val="00A441B5"/>
    <w:rPr>
      <w:rFonts w:ascii="Arial" w:hAnsi="Arial" w:cs="Arial"/>
      <w:sz w:val="22"/>
      <w:szCs w:val="24"/>
      <w:lang w:eastAsia="en-US"/>
    </w:rPr>
  </w:style>
  <w:style w:type="paragraph" w:customStyle="1" w:styleId="FSBullet2">
    <w:name w:val="FSBullet 2"/>
    <w:basedOn w:val="Normal"/>
    <w:qFormat/>
    <w:rsid w:val="00A441B5"/>
    <w:pPr>
      <w:widowControl/>
      <w:numPr>
        <w:numId w:val="62"/>
      </w:numPr>
    </w:pPr>
    <w:rPr>
      <w:rFonts w:eastAsiaTheme="minorHAnsi" w:cstheme="minorBidi"/>
      <w:szCs w:val="22"/>
      <w:lang w:bidi="ar-SA"/>
    </w:rPr>
  </w:style>
  <w:style w:type="paragraph" w:customStyle="1" w:styleId="FSBullet3">
    <w:name w:val="FSBullet 3"/>
    <w:basedOn w:val="Normal"/>
    <w:qFormat/>
    <w:rsid w:val="00A441B5"/>
    <w:pPr>
      <w:keepNext/>
      <w:widowControl/>
      <w:numPr>
        <w:numId w:val="63"/>
      </w:numPr>
    </w:pPr>
    <w:rPr>
      <w:rFonts w:eastAsiaTheme="minorHAnsi" w:cstheme="minorBidi"/>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B6110"/>
    <w:rPr>
      <w:rFonts w:ascii="Arial" w:hAnsi="Arial"/>
      <w:lang w:eastAsia="en-US" w:bidi="en-US"/>
    </w:rPr>
  </w:style>
  <w:style w:type="paragraph" w:styleId="ListParagraph">
    <w:name w:val="List Paragraph"/>
    <w:basedOn w:val="Normal"/>
    <w:uiPriority w:val="34"/>
    <w:qFormat/>
    <w:rsid w:val="00EF0608"/>
    <w:pPr>
      <w:widowControl/>
      <w:ind w:left="720"/>
    </w:pPr>
    <w:rPr>
      <w:rFonts w:eastAsiaTheme="minorHAnsi" w:cs="Arial"/>
      <w:sz w:val="20"/>
      <w:szCs w:val="20"/>
      <w:lang w:val="en-AU" w:bidi="ar-SA"/>
    </w:rPr>
  </w:style>
  <w:style w:type="character" w:customStyle="1" w:styleId="span011">
    <w:name w:val="span011"/>
    <w:basedOn w:val="DefaultParagraphFont"/>
    <w:rsid w:val="00F54EA0"/>
  </w:style>
  <w:style w:type="paragraph" w:styleId="PlainText">
    <w:name w:val="Plain Text"/>
    <w:basedOn w:val="Normal"/>
    <w:link w:val="PlainTextChar"/>
    <w:uiPriority w:val="99"/>
    <w:unhideWhenUsed/>
    <w:rsid w:val="005B1542"/>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5B1542"/>
    <w:rPr>
      <w:rFonts w:ascii="Arial" w:eastAsiaTheme="minorHAnsi" w:hAnsi="Arial" w:cstheme="minorBidi"/>
      <w:sz w:val="22"/>
      <w:szCs w:val="21"/>
      <w:lang w:val="en-AU" w:eastAsia="en-US"/>
    </w:rPr>
  </w:style>
  <w:style w:type="paragraph" w:customStyle="1" w:styleId="section1">
    <w:name w:val="section1"/>
    <w:basedOn w:val="Normal"/>
    <w:rsid w:val="009E1CE1"/>
    <w:pPr>
      <w:widowControl/>
      <w:spacing w:before="100" w:beforeAutospacing="1" w:after="100" w:afterAutospacing="1"/>
    </w:pPr>
    <w:rPr>
      <w:rFonts w:ascii="Times New Roman" w:eastAsiaTheme="minorHAnsi" w:hAnsi="Times New Roman"/>
      <w:sz w:val="24"/>
      <w:lang w:val="en-AU" w:eastAsia="en-AU" w:bidi="ar-SA"/>
    </w:rPr>
  </w:style>
  <w:style w:type="paragraph" w:customStyle="1" w:styleId="Bullet">
    <w:name w:val="Bullet"/>
    <w:basedOn w:val="Normal"/>
    <w:next w:val="Normal"/>
    <w:rsid w:val="00440EAC"/>
    <w:pPr>
      <w:ind w:left="567" w:hanging="567"/>
    </w:pPr>
    <w:rPr>
      <w:lang w:bidi="ar-SA"/>
    </w:rPr>
  </w:style>
  <w:style w:type="character" w:customStyle="1" w:styleId="smallfont1">
    <w:name w:val="smallfont1"/>
    <w:basedOn w:val="DefaultParagraphFont"/>
    <w:rsid w:val="0016421A"/>
    <w:rPr>
      <w:rFonts w:ascii="Verdana" w:hAnsi="Verdana" w:hint="default"/>
      <w:sz w:val="18"/>
      <w:szCs w:val="18"/>
    </w:rPr>
  </w:style>
  <w:style w:type="table" w:customStyle="1" w:styleId="TableGrid2">
    <w:name w:val="Table Grid2"/>
    <w:basedOn w:val="TableNormal"/>
    <w:next w:val="TableGrid"/>
    <w:uiPriority w:val="59"/>
    <w:rsid w:val="001C61A9"/>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34BDC"/>
    <w:pPr>
      <w:widowControl/>
    </w:pPr>
    <w:rPr>
      <w:rFonts w:ascii="Times New Roman" w:hAnsi="Times New Roman"/>
      <w:i/>
      <w:iCs/>
      <w:sz w:val="24"/>
      <w:lang w:bidi="ar-SA"/>
    </w:rPr>
  </w:style>
  <w:style w:type="character" w:customStyle="1" w:styleId="BodyText3Char">
    <w:name w:val="Body Text 3 Char"/>
    <w:basedOn w:val="DefaultParagraphFont"/>
    <w:link w:val="BodyText3"/>
    <w:rsid w:val="00D34BDC"/>
    <w:rPr>
      <w:rFonts w:ascii="Times New Roman" w:hAnsi="Times New Roman"/>
      <w:i/>
      <w:iCs/>
      <w:sz w:val="24"/>
      <w:szCs w:val="24"/>
      <w:lang w:eastAsia="en-US"/>
    </w:rPr>
  </w:style>
  <w:style w:type="character" w:customStyle="1" w:styleId="FooterChar">
    <w:name w:val="Footer Char"/>
    <w:aliases w:val="FSFooter Char"/>
    <w:basedOn w:val="DefaultParagraphFont"/>
    <w:link w:val="Footer"/>
    <w:uiPriority w:val="99"/>
    <w:rsid w:val="00193038"/>
    <w:rPr>
      <w:rFonts w:ascii="Arial" w:hAnsi="Arial"/>
      <w:szCs w:val="24"/>
      <w:lang w:eastAsia="en-US" w:bidi="en-US"/>
    </w:rPr>
  </w:style>
  <w:style w:type="paragraph" w:customStyle="1" w:styleId="Decisionheading">
    <w:name w:val="Decision heading"/>
    <w:basedOn w:val="Normal"/>
    <w:next w:val="Decisiontext"/>
    <w:rsid w:val="00A63695"/>
    <w:pPr>
      <w:widowControl/>
      <w:pBdr>
        <w:top w:val="single" w:sz="4" w:space="1" w:color="auto"/>
        <w:left w:val="single" w:sz="4" w:space="4" w:color="auto"/>
        <w:bottom w:val="single" w:sz="4" w:space="1" w:color="auto"/>
        <w:right w:val="single" w:sz="4" w:space="4" w:color="auto"/>
      </w:pBdr>
    </w:pPr>
    <w:rPr>
      <w:b/>
      <w:bCs/>
      <w:sz w:val="28"/>
      <w:lang w:bidi="ar-SA"/>
    </w:rPr>
  </w:style>
  <w:style w:type="paragraph" w:customStyle="1" w:styleId="Decisiontext">
    <w:name w:val="Decision text"/>
    <w:basedOn w:val="Normal"/>
    <w:rsid w:val="00A63695"/>
    <w:pPr>
      <w:widowControl/>
      <w:pBdr>
        <w:top w:val="single" w:sz="4" w:space="1" w:color="auto"/>
        <w:left w:val="single" w:sz="4" w:space="4" w:color="auto"/>
        <w:bottom w:val="single" w:sz="4" w:space="1" w:color="auto"/>
        <w:right w:val="single" w:sz="4" w:space="4" w:color="auto"/>
      </w:pBdr>
    </w:pPr>
    <w:rPr>
      <w:sz w:val="24"/>
      <w:lang w:bidi="ar-SA"/>
    </w:rPr>
  </w:style>
  <w:style w:type="table" w:customStyle="1" w:styleId="MediumShading1-Accent31">
    <w:name w:val="Medium Shading 1 - Accent 31"/>
    <w:basedOn w:val="TableNormal"/>
    <w:next w:val="MediumShading1-Accent3"/>
    <w:uiPriority w:val="63"/>
    <w:rsid w:val="007F7C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srch-url2">
    <w:name w:val="srch-url2"/>
    <w:basedOn w:val="DefaultParagraphFont"/>
    <w:rsid w:val="0017697A"/>
  </w:style>
  <w:style w:type="table" w:customStyle="1" w:styleId="TableGrid1">
    <w:name w:val="Table Grid1"/>
    <w:basedOn w:val="TableNormal"/>
    <w:uiPriority w:val="59"/>
    <w:rsid w:val="004A08FB"/>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reportChar">
    <w:name w:val="Bullet report Char"/>
    <w:link w:val="Bulletreport"/>
    <w:locked/>
    <w:rsid w:val="007D2B5C"/>
    <w:rPr>
      <w:rFonts w:ascii="Arial" w:hAnsi="Arial" w:cs="Arial"/>
      <w:sz w:val="22"/>
      <w:szCs w:val="24"/>
      <w:lang w:eastAsia="en-US" w:bidi="en-US"/>
    </w:rPr>
  </w:style>
  <w:style w:type="paragraph" w:customStyle="1" w:styleId="Bulletreport">
    <w:name w:val="Bullet report"/>
    <w:basedOn w:val="Bullet"/>
    <w:link w:val="BulletreportChar"/>
    <w:qFormat/>
    <w:rsid w:val="007D2B5C"/>
    <w:pPr>
      <w:tabs>
        <w:tab w:val="num" w:pos="567"/>
      </w:tabs>
    </w:pPr>
    <w:rPr>
      <w:rFonts w:cs="Arial"/>
      <w:lang w:bidi="en-US"/>
    </w:rPr>
  </w:style>
  <w:style w:type="table" w:customStyle="1" w:styleId="TableGrid11">
    <w:name w:val="Table Grid11"/>
    <w:basedOn w:val="TableNormal"/>
    <w:next w:val="TableGrid"/>
    <w:uiPriority w:val="59"/>
    <w:rsid w:val="00C7607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C76079"/>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962A6"/>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next w:val="TableGrid"/>
    <w:uiPriority w:val="59"/>
    <w:rsid w:val="003962A6"/>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A712B5"/>
    <w:rPr>
      <w:sz w:val="20"/>
      <w:szCs w:val="20"/>
    </w:rPr>
  </w:style>
  <w:style w:type="character" w:customStyle="1" w:styleId="EndnoteTextChar">
    <w:name w:val="Endnote Text Char"/>
    <w:basedOn w:val="DefaultParagraphFont"/>
    <w:link w:val="EndnoteText"/>
    <w:rsid w:val="00A712B5"/>
    <w:rPr>
      <w:rFonts w:ascii="Arial" w:hAnsi="Arial"/>
      <w:lang w:eastAsia="en-US" w:bidi="en-US"/>
    </w:rPr>
  </w:style>
  <w:style w:type="character" w:styleId="EndnoteReference">
    <w:name w:val="endnote reference"/>
    <w:basedOn w:val="DefaultParagraphFont"/>
    <w:rsid w:val="00A712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Plain Tex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441B5"/>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A441B5"/>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9"/>
    <w:unhideWhenUsed/>
    <w:qFormat/>
    <w:rsid w:val="00E7321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E7321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A441B5"/>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A441B5"/>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A441B5"/>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9"/>
    <w:rsid w:val="00E7321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9"/>
    <w:rsid w:val="00E73212"/>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9"/>
    <w:rsid w:val="00A441B5"/>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9"/>
    <w:rsid w:val="00A441B5"/>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rsid w:val="007111A1"/>
    <w:pPr>
      <w:tabs>
        <w:tab w:val="right" w:leader="dot" w:pos="9016"/>
      </w:tabs>
      <w:ind w:left="284" w:firstLine="142"/>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A441B5"/>
    <w:pPr>
      <w:widowControl/>
      <w:numPr>
        <w:numId w:val="6"/>
      </w:numPr>
    </w:pPr>
    <w:rPr>
      <w:rFonts w:cs="Arial"/>
      <w:lang w:bidi="ar-SA"/>
    </w:rPr>
  </w:style>
  <w:style w:type="character" w:customStyle="1" w:styleId="FSBullet1Char">
    <w:name w:val="FSBullet 1 Char"/>
    <w:basedOn w:val="DefaultParagraphFont"/>
    <w:link w:val="FSBullet1"/>
    <w:rsid w:val="00A441B5"/>
    <w:rPr>
      <w:rFonts w:ascii="Arial" w:hAnsi="Arial" w:cs="Arial"/>
      <w:sz w:val="22"/>
      <w:szCs w:val="24"/>
      <w:lang w:eastAsia="en-US"/>
    </w:rPr>
  </w:style>
  <w:style w:type="paragraph" w:customStyle="1" w:styleId="FSBullet2">
    <w:name w:val="FSBullet 2"/>
    <w:basedOn w:val="Normal"/>
    <w:qFormat/>
    <w:rsid w:val="00A441B5"/>
    <w:pPr>
      <w:widowControl/>
      <w:numPr>
        <w:numId w:val="62"/>
      </w:numPr>
    </w:pPr>
    <w:rPr>
      <w:rFonts w:eastAsiaTheme="minorHAnsi" w:cstheme="minorBidi"/>
      <w:szCs w:val="22"/>
      <w:lang w:bidi="ar-SA"/>
    </w:rPr>
  </w:style>
  <w:style w:type="paragraph" w:customStyle="1" w:styleId="FSBullet3">
    <w:name w:val="FSBullet 3"/>
    <w:basedOn w:val="Normal"/>
    <w:qFormat/>
    <w:rsid w:val="00A441B5"/>
    <w:pPr>
      <w:keepNext/>
      <w:widowControl/>
      <w:numPr>
        <w:numId w:val="63"/>
      </w:numPr>
    </w:pPr>
    <w:rPr>
      <w:rFonts w:eastAsiaTheme="minorHAnsi" w:cstheme="minorBidi"/>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B6110"/>
    <w:rPr>
      <w:rFonts w:ascii="Arial" w:hAnsi="Arial"/>
      <w:lang w:eastAsia="en-US" w:bidi="en-US"/>
    </w:rPr>
  </w:style>
  <w:style w:type="paragraph" w:styleId="ListParagraph">
    <w:name w:val="List Paragraph"/>
    <w:basedOn w:val="Normal"/>
    <w:uiPriority w:val="34"/>
    <w:qFormat/>
    <w:rsid w:val="00EF0608"/>
    <w:pPr>
      <w:widowControl/>
      <w:ind w:left="720"/>
    </w:pPr>
    <w:rPr>
      <w:rFonts w:eastAsiaTheme="minorHAnsi" w:cs="Arial"/>
      <w:sz w:val="20"/>
      <w:szCs w:val="20"/>
      <w:lang w:val="en-AU" w:bidi="ar-SA"/>
    </w:rPr>
  </w:style>
  <w:style w:type="character" w:customStyle="1" w:styleId="span011">
    <w:name w:val="span011"/>
    <w:basedOn w:val="DefaultParagraphFont"/>
    <w:rsid w:val="00F54EA0"/>
  </w:style>
  <w:style w:type="paragraph" w:styleId="PlainText">
    <w:name w:val="Plain Text"/>
    <w:basedOn w:val="Normal"/>
    <w:link w:val="PlainTextChar"/>
    <w:uiPriority w:val="99"/>
    <w:unhideWhenUsed/>
    <w:rsid w:val="005B1542"/>
    <w:pPr>
      <w:widowControl/>
    </w:pPr>
    <w:rPr>
      <w:rFonts w:eastAsiaTheme="minorHAnsi" w:cstheme="minorBidi"/>
      <w:szCs w:val="21"/>
      <w:lang w:val="en-AU" w:bidi="ar-SA"/>
    </w:rPr>
  </w:style>
  <w:style w:type="character" w:customStyle="1" w:styleId="PlainTextChar">
    <w:name w:val="Plain Text Char"/>
    <w:basedOn w:val="DefaultParagraphFont"/>
    <w:link w:val="PlainText"/>
    <w:uiPriority w:val="99"/>
    <w:rsid w:val="005B1542"/>
    <w:rPr>
      <w:rFonts w:ascii="Arial" w:eastAsiaTheme="minorHAnsi" w:hAnsi="Arial" w:cstheme="minorBidi"/>
      <w:sz w:val="22"/>
      <w:szCs w:val="21"/>
      <w:lang w:val="en-AU" w:eastAsia="en-US"/>
    </w:rPr>
  </w:style>
  <w:style w:type="paragraph" w:customStyle="1" w:styleId="section1">
    <w:name w:val="section1"/>
    <w:basedOn w:val="Normal"/>
    <w:rsid w:val="009E1CE1"/>
    <w:pPr>
      <w:widowControl/>
      <w:spacing w:before="100" w:beforeAutospacing="1" w:after="100" w:afterAutospacing="1"/>
    </w:pPr>
    <w:rPr>
      <w:rFonts w:ascii="Times New Roman" w:eastAsiaTheme="minorHAnsi" w:hAnsi="Times New Roman"/>
      <w:sz w:val="24"/>
      <w:lang w:val="en-AU" w:eastAsia="en-AU" w:bidi="ar-SA"/>
    </w:rPr>
  </w:style>
  <w:style w:type="paragraph" w:customStyle="1" w:styleId="Bullet">
    <w:name w:val="Bullet"/>
    <w:basedOn w:val="Normal"/>
    <w:next w:val="Normal"/>
    <w:rsid w:val="00440EAC"/>
    <w:pPr>
      <w:ind w:left="567" w:hanging="567"/>
    </w:pPr>
    <w:rPr>
      <w:lang w:bidi="ar-SA"/>
    </w:rPr>
  </w:style>
  <w:style w:type="character" w:customStyle="1" w:styleId="smallfont1">
    <w:name w:val="smallfont1"/>
    <w:basedOn w:val="DefaultParagraphFont"/>
    <w:rsid w:val="0016421A"/>
    <w:rPr>
      <w:rFonts w:ascii="Verdana" w:hAnsi="Verdana" w:hint="default"/>
      <w:sz w:val="18"/>
      <w:szCs w:val="18"/>
    </w:rPr>
  </w:style>
  <w:style w:type="table" w:customStyle="1" w:styleId="TableGrid2">
    <w:name w:val="Table Grid2"/>
    <w:basedOn w:val="TableNormal"/>
    <w:next w:val="TableGrid"/>
    <w:uiPriority w:val="59"/>
    <w:rsid w:val="001C61A9"/>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34BDC"/>
    <w:pPr>
      <w:widowControl/>
    </w:pPr>
    <w:rPr>
      <w:rFonts w:ascii="Times New Roman" w:hAnsi="Times New Roman"/>
      <w:i/>
      <w:iCs/>
      <w:sz w:val="24"/>
      <w:lang w:bidi="ar-SA"/>
    </w:rPr>
  </w:style>
  <w:style w:type="character" w:customStyle="1" w:styleId="BodyText3Char">
    <w:name w:val="Body Text 3 Char"/>
    <w:basedOn w:val="DefaultParagraphFont"/>
    <w:link w:val="BodyText3"/>
    <w:rsid w:val="00D34BDC"/>
    <w:rPr>
      <w:rFonts w:ascii="Times New Roman" w:hAnsi="Times New Roman"/>
      <w:i/>
      <w:iCs/>
      <w:sz w:val="24"/>
      <w:szCs w:val="24"/>
      <w:lang w:eastAsia="en-US"/>
    </w:rPr>
  </w:style>
  <w:style w:type="character" w:customStyle="1" w:styleId="FooterChar">
    <w:name w:val="Footer Char"/>
    <w:aliases w:val="FSFooter Char"/>
    <w:basedOn w:val="DefaultParagraphFont"/>
    <w:link w:val="Footer"/>
    <w:uiPriority w:val="99"/>
    <w:rsid w:val="00193038"/>
    <w:rPr>
      <w:rFonts w:ascii="Arial" w:hAnsi="Arial"/>
      <w:szCs w:val="24"/>
      <w:lang w:eastAsia="en-US" w:bidi="en-US"/>
    </w:rPr>
  </w:style>
  <w:style w:type="paragraph" w:customStyle="1" w:styleId="Decisionheading">
    <w:name w:val="Decision heading"/>
    <w:basedOn w:val="Normal"/>
    <w:next w:val="Decisiontext"/>
    <w:rsid w:val="00A63695"/>
    <w:pPr>
      <w:widowControl/>
      <w:pBdr>
        <w:top w:val="single" w:sz="4" w:space="1" w:color="auto"/>
        <w:left w:val="single" w:sz="4" w:space="4" w:color="auto"/>
        <w:bottom w:val="single" w:sz="4" w:space="1" w:color="auto"/>
        <w:right w:val="single" w:sz="4" w:space="4" w:color="auto"/>
      </w:pBdr>
    </w:pPr>
    <w:rPr>
      <w:b/>
      <w:bCs/>
      <w:sz w:val="28"/>
      <w:lang w:bidi="ar-SA"/>
    </w:rPr>
  </w:style>
  <w:style w:type="paragraph" w:customStyle="1" w:styleId="Decisiontext">
    <w:name w:val="Decision text"/>
    <w:basedOn w:val="Normal"/>
    <w:rsid w:val="00A63695"/>
    <w:pPr>
      <w:widowControl/>
      <w:pBdr>
        <w:top w:val="single" w:sz="4" w:space="1" w:color="auto"/>
        <w:left w:val="single" w:sz="4" w:space="4" w:color="auto"/>
        <w:bottom w:val="single" w:sz="4" w:space="1" w:color="auto"/>
        <w:right w:val="single" w:sz="4" w:space="4" w:color="auto"/>
      </w:pBdr>
    </w:pPr>
    <w:rPr>
      <w:sz w:val="24"/>
      <w:lang w:bidi="ar-SA"/>
    </w:rPr>
  </w:style>
  <w:style w:type="table" w:customStyle="1" w:styleId="MediumShading1-Accent31">
    <w:name w:val="Medium Shading 1 - Accent 31"/>
    <w:basedOn w:val="TableNormal"/>
    <w:next w:val="MediumShading1-Accent3"/>
    <w:uiPriority w:val="63"/>
    <w:rsid w:val="007F7C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srch-url2">
    <w:name w:val="srch-url2"/>
    <w:basedOn w:val="DefaultParagraphFont"/>
    <w:rsid w:val="0017697A"/>
  </w:style>
  <w:style w:type="table" w:customStyle="1" w:styleId="TableGrid1">
    <w:name w:val="Table Grid1"/>
    <w:basedOn w:val="TableNormal"/>
    <w:uiPriority w:val="59"/>
    <w:rsid w:val="004A08FB"/>
    <w:rPr>
      <w:rFonts w:asciiTheme="minorHAnsi" w:eastAsiaTheme="minorHAnsi" w:hAnsiTheme="minorHAnsi" w:cstheme="minorBidi"/>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reportChar">
    <w:name w:val="Bullet report Char"/>
    <w:link w:val="Bulletreport"/>
    <w:locked/>
    <w:rsid w:val="007D2B5C"/>
    <w:rPr>
      <w:rFonts w:ascii="Arial" w:hAnsi="Arial" w:cs="Arial"/>
      <w:sz w:val="22"/>
      <w:szCs w:val="24"/>
      <w:lang w:eastAsia="en-US" w:bidi="en-US"/>
    </w:rPr>
  </w:style>
  <w:style w:type="paragraph" w:customStyle="1" w:styleId="Bulletreport">
    <w:name w:val="Bullet report"/>
    <w:basedOn w:val="Bullet"/>
    <w:link w:val="BulletreportChar"/>
    <w:qFormat/>
    <w:rsid w:val="007D2B5C"/>
    <w:pPr>
      <w:tabs>
        <w:tab w:val="num" w:pos="567"/>
      </w:tabs>
    </w:pPr>
    <w:rPr>
      <w:rFonts w:cs="Arial"/>
      <w:lang w:bidi="en-US"/>
    </w:rPr>
  </w:style>
  <w:style w:type="table" w:customStyle="1" w:styleId="TableGrid11">
    <w:name w:val="Table Grid11"/>
    <w:basedOn w:val="TableNormal"/>
    <w:next w:val="TableGrid"/>
    <w:uiPriority w:val="59"/>
    <w:rsid w:val="00C7607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C76079"/>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962A6"/>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next w:val="TableGrid"/>
    <w:uiPriority w:val="59"/>
    <w:rsid w:val="003962A6"/>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A712B5"/>
    <w:rPr>
      <w:sz w:val="20"/>
      <w:szCs w:val="20"/>
    </w:rPr>
  </w:style>
  <w:style w:type="character" w:customStyle="1" w:styleId="EndnoteTextChar">
    <w:name w:val="Endnote Text Char"/>
    <w:basedOn w:val="DefaultParagraphFont"/>
    <w:link w:val="EndnoteText"/>
    <w:rsid w:val="00A712B5"/>
    <w:rPr>
      <w:rFonts w:ascii="Arial" w:hAnsi="Arial"/>
      <w:lang w:eastAsia="en-US" w:bidi="en-US"/>
    </w:rPr>
  </w:style>
  <w:style w:type="character" w:styleId="EndnoteReference">
    <w:name w:val="endnote reference"/>
    <w:basedOn w:val="DefaultParagraphFont"/>
    <w:rsid w:val="00A71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2096">
      <w:bodyDiv w:val="1"/>
      <w:marLeft w:val="0"/>
      <w:marRight w:val="0"/>
      <w:marTop w:val="0"/>
      <w:marBottom w:val="0"/>
      <w:divBdr>
        <w:top w:val="none" w:sz="0" w:space="0" w:color="auto"/>
        <w:left w:val="none" w:sz="0" w:space="0" w:color="auto"/>
        <w:bottom w:val="none" w:sz="0" w:space="0" w:color="auto"/>
        <w:right w:val="none" w:sz="0" w:space="0" w:color="auto"/>
      </w:divBdr>
    </w:div>
    <w:div w:id="101414512">
      <w:bodyDiv w:val="1"/>
      <w:marLeft w:val="0"/>
      <w:marRight w:val="0"/>
      <w:marTop w:val="0"/>
      <w:marBottom w:val="0"/>
      <w:divBdr>
        <w:top w:val="none" w:sz="0" w:space="0" w:color="auto"/>
        <w:left w:val="none" w:sz="0" w:space="0" w:color="auto"/>
        <w:bottom w:val="none" w:sz="0" w:space="0" w:color="auto"/>
        <w:right w:val="none" w:sz="0" w:space="0" w:color="auto"/>
      </w:divBdr>
    </w:div>
    <w:div w:id="174661004">
      <w:bodyDiv w:val="1"/>
      <w:marLeft w:val="0"/>
      <w:marRight w:val="0"/>
      <w:marTop w:val="0"/>
      <w:marBottom w:val="0"/>
      <w:divBdr>
        <w:top w:val="none" w:sz="0" w:space="0" w:color="auto"/>
        <w:left w:val="none" w:sz="0" w:space="0" w:color="auto"/>
        <w:bottom w:val="none" w:sz="0" w:space="0" w:color="auto"/>
        <w:right w:val="none" w:sz="0" w:space="0" w:color="auto"/>
      </w:divBdr>
    </w:div>
    <w:div w:id="188879840">
      <w:bodyDiv w:val="1"/>
      <w:marLeft w:val="0"/>
      <w:marRight w:val="0"/>
      <w:marTop w:val="0"/>
      <w:marBottom w:val="0"/>
      <w:divBdr>
        <w:top w:val="none" w:sz="0" w:space="0" w:color="auto"/>
        <w:left w:val="none" w:sz="0" w:space="0" w:color="auto"/>
        <w:bottom w:val="none" w:sz="0" w:space="0" w:color="auto"/>
        <w:right w:val="none" w:sz="0" w:space="0" w:color="auto"/>
      </w:divBdr>
    </w:div>
    <w:div w:id="296372057">
      <w:bodyDiv w:val="1"/>
      <w:marLeft w:val="0"/>
      <w:marRight w:val="0"/>
      <w:marTop w:val="0"/>
      <w:marBottom w:val="0"/>
      <w:divBdr>
        <w:top w:val="none" w:sz="0" w:space="0" w:color="auto"/>
        <w:left w:val="none" w:sz="0" w:space="0" w:color="auto"/>
        <w:bottom w:val="none" w:sz="0" w:space="0" w:color="auto"/>
        <w:right w:val="none" w:sz="0" w:space="0" w:color="auto"/>
      </w:divBdr>
    </w:div>
    <w:div w:id="310672549">
      <w:bodyDiv w:val="1"/>
      <w:marLeft w:val="0"/>
      <w:marRight w:val="0"/>
      <w:marTop w:val="0"/>
      <w:marBottom w:val="0"/>
      <w:divBdr>
        <w:top w:val="none" w:sz="0" w:space="0" w:color="auto"/>
        <w:left w:val="none" w:sz="0" w:space="0" w:color="auto"/>
        <w:bottom w:val="none" w:sz="0" w:space="0" w:color="auto"/>
        <w:right w:val="none" w:sz="0" w:space="0" w:color="auto"/>
      </w:divBdr>
    </w:div>
    <w:div w:id="418604093">
      <w:bodyDiv w:val="1"/>
      <w:marLeft w:val="0"/>
      <w:marRight w:val="0"/>
      <w:marTop w:val="0"/>
      <w:marBottom w:val="0"/>
      <w:divBdr>
        <w:top w:val="none" w:sz="0" w:space="0" w:color="auto"/>
        <w:left w:val="none" w:sz="0" w:space="0" w:color="auto"/>
        <w:bottom w:val="none" w:sz="0" w:space="0" w:color="auto"/>
        <w:right w:val="none" w:sz="0" w:space="0" w:color="auto"/>
      </w:divBdr>
    </w:div>
    <w:div w:id="442920334">
      <w:bodyDiv w:val="1"/>
      <w:marLeft w:val="0"/>
      <w:marRight w:val="0"/>
      <w:marTop w:val="0"/>
      <w:marBottom w:val="0"/>
      <w:divBdr>
        <w:top w:val="none" w:sz="0" w:space="0" w:color="auto"/>
        <w:left w:val="none" w:sz="0" w:space="0" w:color="auto"/>
        <w:bottom w:val="none" w:sz="0" w:space="0" w:color="auto"/>
        <w:right w:val="none" w:sz="0" w:space="0" w:color="auto"/>
      </w:divBdr>
    </w:div>
    <w:div w:id="469132100">
      <w:bodyDiv w:val="1"/>
      <w:marLeft w:val="0"/>
      <w:marRight w:val="0"/>
      <w:marTop w:val="0"/>
      <w:marBottom w:val="0"/>
      <w:divBdr>
        <w:top w:val="none" w:sz="0" w:space="0" w:color="auto"/>
        <w:left w:val="none" w:sz="0" w:space="0" w:color="auto"/>
        <w:bottom w:val="none" w:sz="0" w:space="0" w:color="auto"/>
        <w:right w:val="none" w:sz="0" w:space="0" w:color="auto"/>
      </w:divBdr>
    </w:div>
    <w:div w:id="524634360">
      <w:bodyDiv w:val="1"/>
      <w:marLeft w:val="0"/>
      <w:marRight w:val="0"/>
      <w:marTop w:val="0"/>
      <w:marBottom w:val="0"/>
      <w:divBdr>
        <w:top w:val="none" w:sz="0" w:space="0" w:color="auto"/>
        <w:left w:val="none" w:sz="0" w:space="0" w:color="auto"/>
        <w:bottom w:val="none" w:sz="0" w:space="0" w:color="auto"/>
        <w:right w:val="none" w:sz="0" w:space="0" w:color="auto"/>
      </w:divBdr>
    </w:div>
    <w:div w:id="586422590">
      <w:bodyDiv w:val="1"/>
      <w:marLeft w:val="0"/>
      <w:marRight w:val="0"/>
      <w:marTop w:val="0"/>
      <w:marBottom w:val="0"/>
      <w:divBdr>
        <w:top w:val="none" w:sz="0" w:space="0" w:color="auto"/>
        <w:left w:val="none" w:sz="0" w:space="0" w:color="auto"/>
        <w:bottom w:val="none" w:sz="0" w:space="0" w:color="auto"/>
        <w:right w:val="none" w:sz="0" w:space="0" w:color="auto"/>
      </w:divBdr>
    </w:div>
    <w:div w:id="597442249">
      <w:bodyDiv w:val="1"/>
      <w:marLeft w:val="0"/>
      <w:marRight w:val="0"/>
      <w:marTop w:val="0"/>
      <w:marBottom w:val="0"/>
      <w:divBdr>
        <w:top w:val="none" w:sz="0" w:space="0" w:color="auto"/>
        <w:left w:val="none" w:sz="0" w:space="0" w:color="auto"/>
        <w:bottom w:val="none" w:sz="0" w:space="0" w:color="auto"/>
        <w:right w:val="none" w:sz="0" w:space="0" w:color="auto"/>
      </w:divBdr>
    </w:div>
    <w:div w:id="714086259">
      <w:bodyDiv w:val="1"/>
      <w:marLeft w:val="0"/>
      <w:marRight w:val="0"/>
      <w:marTop w:val="0"/>
      <w:marBottom w:val="0"/>
      <w:divBdr>
        <w:top w:val="none" w:sz="0" w:space="0" w:color="auto"/>
        <w:left w:val="none" w:sz="0" w:space="0" w:color="auto"/>
        <w:bottom w:val="none" w:sz="0" w:space="0" w:color="auto"/>
        <w:right w:val="none" w:sz="0" w:space="0" w:color="auto"/>
      </w:divBdr>
    </w:div>
    <w:div w:id="723871300">
      <w:bodyDiv w:val="1"/>
      <w:marLeft w:val="0"/>
      <w:marRight w:val="0"/>
      <w:marTop w:val="0"/>
      <w:marBottom w:val="0"/>
      <w:divBdr>
        <w:top w:val="none" w:sz="0" w:space="0" w:color="auto"/>
        <w:left w:val="none" w:sz="0" w:space="0" w:color="auto"/>
        <w:bottom w:val="none" w:sz="0" w:space="0" w:color="auto"/>
        <w:right w:val="none" w:sz="0" w:space="0" w:color="auto"/>
      </w:divBdr>
    </w:div>
    <w:div w:id="755591098">
      <w:bodyDiv w:val="1"/>
      <w:marLeft w:val="0"/>
      <w:marRight w:val="0"/>
      <w:marTop w:val="0"/>
      <w:marBottom w:val="0"/>
      <w:divBdr>
        <w:top w:val="none" w:sz="0" w:space="0" w:color="auto"/>
        <w:left w:val="none" w:sz="0" w:space="0" w:color="auto"/>
        <w:bottom w:val="none" w:sz="0" w:space="0" w:color="auto"/>
        <w:right w:val="none" w:sz="0" w:space="0" w:color="auto"/>
      </w:divBdr>
    </w:div>
    <w:div w:id="798765892">
      <w:bodyDiv w:val="1"/>
      <w:marLeft w:val="0"/>
      <w:marRight w:val="0"/>
      <w:marTop w:val="0"/>
      <w:marBottom w:val="0"/>
      <w:divBdr>
        <w:top w:val="none" w:sz="0" w:space="0" w:color="auto"/>
        <w:left w:val="none" w:sz="0" w:space="0" w:color="auto"/>
        <w:bottom w:val="none" w:sz="0" w:space="0" w:color="auto"/>
        <w:right w:val="none" w:sz="0" w:space="0" w:color="auto"/>
      </w:divBdr>
    </w:div>
    <w:div w:id="807623283">
      <w:bodyDiv w:val="1"/>
      <w:marLeft w:val="0"/>
      <w:marRight w:val="0"/>
      <w:marTop w:val="0"/>
      <w:marBottom w:val="0"/>
      <w:divBdr>
        <w:top w:val="none" w:sz="0" w:space="0" w:color="auto"/>
        <w:left w:val="none" w:sz="0" w:space="0" w:color="auto"/>
        <w:bottom w:val="none" w:sz="0" w:space="0" w:color="auto"/>
        <w:right w:val="none" w:sz="0" w:space="0" w:color="auto"/>
      </w:divBdr>
    </w:div>
    <w:div w:id="839123711">
      <w:bodyDiv w:val="1"/>
      <w:marLeft w:val="0"/>
      <w:marRight w:val="0"/>
      <w:marTop w:val="0"/>
      <w:marBottom w:val="0"/>
      <w:divBdr>
        <w:top w:val="none" w:sz="0" w:space="0" w:color="auto"/>
        <w:left w:val="none" w:sz="0" w:space="0" w:color="auto"/>
        <w:bottom w:val="none" w:sz="0" w:space="0" w:color="auto"/>
        <w:right w:val="none" w:sz="0" w:space="0" w:color="auto"/>
      </w:divBdr>
    </w:div>
    <w:div w:id="871186652">
      <w:bodyDiv w:val="1"/>
      <w:marLeft w:val="0"/>
      <w:marRight w:val="0"/>
      <w:marTop w:val="0"/>
      <w:marBottom w:val="0"/>
      <w:divBdr>
        <w:top w:val="none" w:sz="0" w:space="0" w:color="auto"/>
        <w:left w:val="none" w:sz="0" w:space="0" w:color="auto"/>
        <w:bottom w:val="none" w:sz="0" w:space="0" w:color="auto"/>
        <w:right w:val="none" w:sz="0" w:space="0" w:color="auto"/>
      </w:divBdr>
    </w:div>
    <w:div w:id="1000238388">
      <w:bodyDiv w:val="1"/>
      <w:marLeft w:val="0"/>
      <w:marRight w:val="0"/>
      <w:marTop w:val="0"/>
      <w:marBottom w:val="0"/>
      <w:divBdr>
        <w:top w:val="none" w:sz="0" w:space="0" w:color="auto"/>
        <w:left w:val="none" w:sz="0" w:space="0" w:color="auto"/>
        <w:bottom w:val="none" w:sz="0" w:space="0" w:color="auto"/>
        <w:right w:val="none" w:sz="0" w:space="0" w:color="auto"/>
      </w:divBdr>
    </w:div>
    <w:div w:id="1048652069">
      <w:bodyDiv w:val="1"/>
      <w:marLeft w:val="0"/>
      <w:marRight w:val="0"/>
      <w:marTop w:val="0"/>
      <w:marBottom w:val="0"/>
      <w:divBdr>
        <w:top w:val="none" w:sz="0" w:space="0" w:color="auto"/>
        <w:left w:val="none" w:sz="0" w:space="0" w:color="auto"/>
        <w:bottom w:val="none" w:sz="0" w:space="0" w:color="auto"/>
        <w:right w:val="none" w:sz="0" w:space="0" w:color="auto"/>
      </w:divBdr>
    </w:div>
    <w:div w:id="1128938530">
      <w:bodyDiv w:val="1"/>
      <w:marLeft w:val="0"/>
      <w:marRight w:val="0"/>
      <w:marTop w:val="0"/>
      <w:marBottom w:val="0"/>
      <w:divBdr>
        <w:top w:val="none" w:sz="0" w:space="0" w:color="auto"/>
        <w:left w:val="none" w:sz="0" w:space="0" w:color="auto"/>
        <w:bottom w:val="none" w:sz="0" w:space="0" w:color="auto"/>
        <w:right w:val="none" w:sz="0" w:space="0" w:color="auto"/>
      </w:divBdr>
    </w:div>
    <w:div w:id="1145701710">
      <w:bodyDiv w:val="1"/>
      <w:marLeft w:val="0"/>
      <w:marRight w:val="0"/>
      <w:marTop w:val="0"/>
      <w:marBottom w:val="0"/>
      <w:divBdr>
        <w:top w:val="none" w:sz="0" w:space="0" w:color="auto"/>
        <w:left w:val="none" w:sz="0" w:space="0" w:color="auto"/>
        <w:bottom w:val="none" w:sz="0" w:space="0" w:color="auto"/>
        <w:right w:val="none" w:sz="0" w:space="0" w:color="auto"/>
      </w:divBdr>
    </w:div>
    <w:div w:id="1175338192">
      <w:bodyDiv w:val="1"/>
      <w:marLeft w:val="0"/>
      <w:marRight w:val="0"/>
      <w:marTop w:val="0"/>
      <w:marBottom w:val="0"/>
      <w:divBdr>
        <w:top w:val="none" w:sz="0" w:space="0" w:color="auto"/>
        <w:left w:val="none" w:sz="0" w:space="0" w:color="auto"/>
        <w:bottom w:val="none" w:sz="0" w:space="0" w:color="auto"/>
        <w:right w:val="none" w:sz="0" w:space="0" w:color="auto"/>
      </w:divBdr>
    </w:div>
    <w:div w:id="1179660374">
      <w:bodyDiv w:val="1"/>
      <w:marLeft w:val="0"/>
      <w:marRight w:val="0"/>
      <w:marTop w:val="0"/>
      <w:marBottom w:val="0"/>
      <w:divBdr>
        <w:top w:val="none" w:sz="0" w:space="0" w:color="auto"/>
        <w:left w:val="none" w:sz="0" w:space="0" w:color="auto"/>
        <w:bottom w:val="none" w:sz="0" w:space="0" w:color="auto"/>
        <w:right w:val="none" w:sz="0" w:space="0" w:color="auto"/>
      </w:divBdr>
      <w:divsChild>
        <w:div w:id="71702812">
          <w:marLeft w:val="0"/>
          <w:marRight w:val="0"/>
          <w:marTop w:val="0"/>
          <w:marBottom w:val="0"/>
          <w:divBdr>
            <w:top w:val="none" w:sz="0" w:space="0" w:color="auto"/>
            <w:left w:val="none" w:sz="0" w:space="0" w:color="auto"/>
            <w:bottom w:val="none" w:sz="0" w:space="0" w:color="auto"/>
            <w:right w:val="none" w:sz="0" w:space="0" w:color="auto"/>
          </w:divBdr>
        </w:div>
      </w:divsChild>
    </w:div>
    <w:div w:id="1183520386">
      <w:bodyDiv w:val="1"/>
      <w:marLeft w:val="0"/>
      <w:marRight w:val="0"/>
      <w:marTop w:val="0"/>
      <w:marBottom w:val="0"/>
      <w:divBdr>
        <w:top w:val="none" w:sz="0" w:space="0" w:color="auto"/>
        <w:left w:val="none" w:sz="0" w:space="0" w:color="auto"/>
        <w:bottom w:val="none" w:sz="0" w:space="0" w:color="auto"/>
        <w:right w:val="none" w:sz="0" w:space="0" w:color="auto"/>
      </w:divBdr>
    </w:div>
    <w:div w:id="1216426450">
      <w:bodyDiv w:val="1"/>
      <w:marLeft w:val="0"/>
      <w:marRight w:val="0"/>
      <w:marTop w:val="0"/>
      <w:marBottom w:val="0"/>
      <w:divBdr>
        <w:top w:val="none" w:sz="0" w:space="0" w:color="auto"/>
        <w:left w:val="none" w:sz="0" w:space="0" w:color="auto"/>
        <w:bottom w:val="none" w:sz="0" w:space="0" w:color="auto"/>
        <w:right w:val="none" w:sz="0" w:space="0" w:color="auto"/>
      </w:divBdr>
    </w:div>
    <w:div w:id="1285890180">
      <w:bodyDiv w:val="1"/>
      <w:marLeft w:val="0"/>
      <w:marRight w:val="0"/>
      <w:marTop w:val="0"/>
      <w:marBottom w:val="0"/>
      <w:divBdr>
        <w:top w:val="none" w:sz="0" w:space="0" w:color="auto"/>
        <w:left w:val="none" w:sz="0" w:space="0" w:color="auto"/>
        <w:bottom w:val="none" w:sz="0" w:space="0" w:color="auto"/>
        <w:right w:val="none" w:sz="0" w:space="0" w:color="auto"/>
      </w:divBdr>
    </w:div>
    <w:div w:id="1335378067">
      <w:bodyDiv w:val="1"/>
      <w:marLeft w:val="0"/>
      <w:marRight w:val="0"/>
      <w:marTop w:val="0"/>
      <w:marBottom w:val="0"/>
      <w:divBdr>
        <w:top w:val="none" w:sz="0" w:space="0" w:color="auto"/>
        <w:left w:val="none" w:sz="0" w:space="0" w:color="auto"/>
        <w:bottom w:val="none" w:sz="0" w:space="0" w:color="auto"/>
        <w:right w:val="none" w:sz="0" w:space="0" w:color="auto"/>
      </w:divBdr>
      <w:divsChild>
        <w:div w:id="608975571">
          <w:marLeft w:val="0"/>
          <w:marRight w:val="0"/>
          <w:marTop w:val="0"/>
          <w:marBottom w:val="0"/>
          <w:divBdr>
            <w:top w:val="none" w:sz="0" w:space="0" w:color="auto"/>
            <w:left w:val="none" w:sz="0" w:space="0" w:color="auto"/>
            <w:bottom w:val="none" w:sz="0" w:space="0" w:color="auto"/>
            <w:right w:val="none" w:sz="0" w:space="0" w:color="auto"/>
          </w:divBdr>
          <w:divsChild>
            <w:div w:id="1372414337">
              <w:marLeft w:val="0"/>
              <w:marRight w:val="0"/>
              <w:marTop w:val="0"/>
              <w:marBottom w:val="0"/>
              <w:divBdr>
                <w:top w:val="none" w:sz="0" w:space="0" w:color="auto"/>
                <w:left w:val="none" w:sz="0" w:space="0" w:color="auto"/>
                <w:bottom w:val="none" w:sz="0" w:space="0" w:color="auto"/>
                <w:right w:val="none" w:sz="0" w:space="0" w:color="auto"/>
              </w:divBdr>
              <w:divsChild>
                <w:div w:id="2026592571">
                  <w:marLeft w:val="0"/>
                  <w:marRight w:val="0"/>
                  <w:marTop w:val="0"/>
                  <w:marBottom w:val="0"/>
                  <w:divBdr>
                    <w:top w:val="none" w:sz="0" w:space="0" w:color="auto"/>
                    <w:left w:val="none" w:sz="0" w:space="0" w:color="auto"/>
                    <w:bottom w:val="none" w:sz="0" w:space="0" w:color="auto"/>
                    <w:right w:val="none" w:sz="0" w:space="0" w:color="auto"/>
                  </w:divBdr>
                  <w:divsChild>
                    <w:div w:id="183772083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0841">
      <w:bodyDiv w:val="1"/>
      <w:marLeft w:val="0"/>
      <w:marRight w:val="0"/>
      <w:marTop w:val="0"/>
      <w:marBottom w:val="0"/>
      <w:divBdr>
        <w:top w:val="none" w:sz="0" w:space="0" w:color="auto"/>
        <w:left w:val="none" w:sz="0" w:space="0" w:color="auto"/>
        <w:bottom w:val="none" w:sz="0" w:space="0" w:color="auto"/>
        <w:right w:val="none" w:sz="0" w:space="0" w:color="auto"/>
      </w:divBdr>
    </w:div>
    <w:div w:id="1484351568">
      <w:bodyDiv w:val="1"/>
      <w:marLeft w:val="0"/>
      <w:marRight w:val="0"/>
      <w:marTop w:val="0"/>
      <w:marBottom w:val="0"/>
      <w:divBdr>
        <w:top w:val="none" w:sz="0" w:space="0" w:color="auto"/>
        <w:left w:val="none" w:sz="0" w:space="0" w:color="auto"/>
        <w:bottom w:val="none" w:sz="0" w:space="0" w:color="auto"/>
        <w:right w:val="none" w:sz="0" w:space="0" w:color="auto"/>
      </w:divBdr>
    </w:div>
    <w:div w:id="1560631941">
      <w:bodyDiv w:val="1"/>
      <w:marLeft w:val="0"/>
      <w:marRight w:val="0"/>
      <w:marTop w:val="0"/>
      <w:marBottom w:val="0"/>
      <w:divBdr>
        <w:top w:val="none" w:sz="0" w:space="0" w:color="auto"/>
        <w:left w:val="none" w:sz="0" w:space="0" w:color="auto"/>
        <w:bottom w:val="none" w:sz="0" w:space="0" w:color="auto"/>
        <w:right w:val="none" w:sz="0" w:space="0" w:color="auto"/>
      </w:divBdr>
    </w:div>
    <w:div w:id="1631862984">
      <w:bodyDiv w:val="1"/>
      <w:marLeft w:val="0"/>
      <w:marRight w:val="0"/>
      <w:marTop w:val="0"/>
      <w:marBottom w:val="0"/>
      <w:divBdr>
        <w:top w:val="none" w:sz="0" w:space="0" w:color="auto"/>
        <w:left w:val="none" w:sz="0" w:space="0" w:color="auto"/>
        <w:bottom w:val="none" w:sz="0" w:space="0" w:color="auto"/>
        <w:right w:val="none" w:sz="0" w:space="0" w:color="auto"/>
      </w:divBdr>
    </w:div>
    <w:div w:id="1760709430">
      <w:bodyDiv w:val="1"/>
      <w:marLeft w:val="0"/>
      <w:marRight w:val="0"/>
      <w:marTop w:val="0"/>
      <w:marBottom w:val="0"/>
      <w:divBdr>
        <w:top w:val="none" w:sz="0" w:space="0" w:color="auto"/>
        <w:left w:val="none" w:sz="0" w:space="0" w:color="auto"/>
        <w:bottom w:val="none" w:sz="0" w:space="0" w:color="auto"/>
        <w:right w:val="none" w:sz="0" w:space="0" w:color="auto"/>
      </w:divBdr>
      <w:divsChild>
        <w:div w:id="2017224023">
          <w:marLeft w:val="0"/>
          <w:marRight w:val="0"/>
          <w:marTop w:val="0"/>
          <w:marBottom w:val="0"/>
          <w:divBdr>
            <w:top w:val="none" w:sz="0" w:space="0" w:color="auto"/>
            <w:left w:val="none" w:sz="0" w:space="0" w:color="auto"/>
            <w:bottom w:val="none" w:sz="0" w:space="0" w:color="auto"/>
            <w:right w:val="none" w:sz="0" w:space="0" w:color="auto"/>
          </w:divBdr>
          <w:divsChild>
            <w:div w:id="568662408">
              <w:marLeft w:val="0"/>
              <w:marRight w:val="0"/>
              <w:marTop w:val="0"/>
              <w:marBottom w:val="0"/>
              <w:divBdr>
                <w:top w:val="none" w:sz="0" w:space="0" w:color="auto"/>
                <w:left w:val="none" w:sz="0" w:space="0" w:color="auto"/>
                <w:bottom w:val="none" w:sz="0" w:space="0" w:color="auto"/>
                <w:right w:val="none" w:sz="0" w:space="0" w:color="auto"/>
              </w:divBdr>
              <w:divsChild>
                <w:div w:id="2054765122">
                  <w:marLeft w:val="0"/>
                  <w:marRight w:val="0"/>
                  <w:marTop w:val="0"/>
                  <w:marBottom w:val="0"/>
                  <w:divBdr>
                    <w:top w:val="none" w:sz="0" w:space="0" w:color="auto"/>
                    <w:left w:val="none" w:sz="0" w:space="0" w:color="auto"/>
                    <w:bottom w:val="none" w:sz="0" w:space="0" w:color="auto"/>
                    <w:right w:val="none" w:sz="0" w:space="0" w:color="auto"/>
                  </w:divBdr>
                  <w:divsChild>
                    <w:div w:id="851334613">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42673">
      <w:bodyDiv w:val="1"/>
      <w:marLeft w:val="0"/>
      <w:marRight w:val="0"/>
      <w:marTop w:val="0"/>
      <w:marBottom w:val="0"/>
      <w:divBdr>
        <w:top w:val="none" w:sz="0" w:space="0" w:color="auto"/>
        <w:left w:val="none" w:sz="0" w:space="0" w:color="auto"/>
        <w:bottom w:val="none" w:sz="0" w:space="0" w:color="auto"/>
        <w:right w:val="none" w:sz="0" w:space="0" w:color="auto"/>
      </w:divBdr>
    </w:div>
    <w:div w:id="1890267227">
      <w:bodyDiv w:val="1"/>
      <w:marLeft w:val="0"/>
      <w:marRight w:val="0"/>
      <w:marTop w:val="0"/>
      <w:marBottom w:val="0"/>
      <w:divBdr>
        <w:top w:val="none" w:sz="0" w:space="0" w:color="auto"/>
        <w:left w:val="none" w:sz="0" w:space="0" w:color="auto"/>
        <w:bottom w:val="none" w:sz="0" w:space="0" w:color="auto"/>
        <w:right w:val="none" w:sz="0" w:space="0" w:color="auto"/>
      </w:divBdr>
    </w:div>
    <w:div w:id="2027554838">
      <w:bodyDiv w:val="1"/>
      <w:marLeft w:val="0"/>
      <w:marRight w:val="0"/>
      <w:marTop w:val="0"/>
      <w:marBottom w:val="0"/>
      <w:divBdr>
        <w:top w:val="none" w:sz="0" w:space="0" w:color="auto"/>
        <w:left w:val="none" w:sz="0" w:space="0" w:color="auto"/>
        <w:bottom w:val="none" w:sz="0" w:space="0" w:color="auto"/>
        <w:right w:val="none" w:sz="0" w:space="0" w:color="auto"/>
      </w:divBdr>
    </w:div>
    <w:div w:id="2027709478">
      <w:bodyDiv w:val="1"/>
      <w:marLeft w:val="0"/>
      <w:marRight w:val="0"/>
      <w:marTop w:val="0"/>
      <w:marBottom w:val="0"/>
      <w:divBdr>
        <w:top w:val="none" w:sz="0" w:space="0" w:color="auto"/>
        <w:left w:val="none" w:sz="0" w:space="0" w:color="auto"/>
        <w:bottom w:val="none" w:sz="0" w:space="0" w:color="auto"/>
        <w:right w:val="none" w:sz="0" w:space="0" w:color="auto"/>
      </w:divBdr>
      <w:divsChild>
        <w:div w:id="1041785599">
          <w:marLeft w:val="0"/>
          <w:marRight w:val="0"/>
          <w:marTop w:val="0"/>
          <w:marBottom w:val="0"/>
          <w:divBdr>
            <w:top w:val="none" w:sz="0" w:space="0" w:color="auto"/>
            <w:left w:val="none" w:sz="0" w:space="0" w:color="auto"/>
            <w:bottom w:val="none" w:sz="0" w:space="0" w:color="auto"/>
            <w:right w:val="none" w:sz="0" w:space="0" w:color="auto"/>
          </w:divBdr>
          <w:divsChild>
            <w:div w:id="1381124947">
              <w:marLeft w:val="0"/>
              <w:marRight w:val="0"/>
              <w:marTop w:val="0"/>
              <w:marBottom w:val="0"/>
              <w:divBdr>
                <w:top w:val="none" w:sz="0" w:space="0" w:color="auto"/>
                <w:left w:val="none" w:sz="0" w:space="0" w:color="auto"/>
                <w:bottom w:val="none" w:sz="0" w:space="0" w:color="auto"/>
                <w:right w:val="none" w:sz="0" w:space="0" w:color="auto"/>
              </w:divBdr>
              <w:divsChild>
                <w:div w:id="2081443764">
                  <w:marLeft w:val="0"/>
                  <w:marRight w:val="0"/>
                  <w:marTop w:val="0"/>
                  <w:marBottom w:val="0"/>
                  <w:divBdr>
                    <w:top w:val="none" w:sz="0" w:space="0" w:color="auto"/>
                    <w:left w:val="none" w:sz="0" w:space="0" w:color="auto"/>
                    <w:bottom w:val="none" w:sz="0" w:space="0" w:color="auto"/>
                    <w:right w:val="none" w:sz="0" w:space="0" w:color="auto"/>
                  </w:divBdr>
                  <w:divsChild>
                    <w:div w:id="1445806181">
                      <w:marLeft w:val="0"/>
                      <w:marRight w:val="0"/>
                      <w:marTop w:val="0"/>
                      <w:marBottom w:val="0"/>
                      <w:divBdr>
                        <w:top w:val="none" w:sz="0" w:space="0" w:color="auto"/>
                        <w:left w:val="none" w:sz="0" w:space="0" w:color="auto"/>
                        <w:bottom w:val="none" w:sz="0" w:space="0" w:color="auto"/>
                        <w:right w:val="none" w:sz="0" w:space="0" w:color="auto"/>
                      </w:divBdr>
                      <w:divsChild>
                        <w:div w:id="12124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science/monitoring/surveillance/Pages/news/spring2008.aspx" TargetMode="External"/><Relationship Id="rId2" Type="http://schemas.openxmlformats.org/officeDocument/2006/relationships/numbering" Target="numbering.xml"/><Relationship Id="rId16" Type="http://schemas.openxmlformats.org/officeDocument/2006/relationships/hyperlink" Target="http://www.foodstandards.gov.au/code/proposals/Pages/proposalp298benzoate2973.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codexalimentarius.net/gsfaonline/index.html?lang=en" TargetMode="External"/><Relationship Id="rId1" Type="http://schemas.openxmlformats.org/officeDocument/2006/relationships/hyperlink" Target="http://www.foodstandards.gov.au/publications/Pages/21staustraliantotald296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31959-7E72-41ED-8629-F68506E63265}"/>
</file>

<file path=customXml/itemProps2.xml><?xml version="1.0" encoding="utf-8"?>
<ds:datastoreItem xmlns:ds="http://schemas.openxmlformats.org/officeDocument/2006/customXml" ds:itemID="{4EA6006A-C663-4C4B-8574-3114C3F3AB70}"/>
</file>

<file path=customXml/itemProps3.xml><?xml version="1.0" encoding="utf-8"?>
<ds:datastoreItem xmlns:ds="http://schemas.openxmlformats.org/officeDocument/2006/customXml" ds:itemID="{83B46BBE-A4FA-4271-869E-CA2B5B97C7E8}"/>
</file>

<file path=customXml/itemProps4.xml><?xml version="1.0" encoding="utf-8"?>
<ds:datastoreItem xmlns:ds="http://schemas.openxmlformats.org/officeDocument/2006/customXml" ds:itemID="{5C4BF74E-6135-4DC0-BCE0-A84AB40F2C1F}"/>
</file>

<file path=docProps/app.xml><?xml version="1.0" encoding="utf-8"?>
<Properties xmlns="http://schemas.openxmlformats.org/officeDocument/2006/extended-properties" xmlns:vt="http://schemas.openxmlformats.org/officeDocument/2006/docPropsVTypes">
  <Template>Normal</Template>
  <TotalTime>0</TotalTime>
  <Pages>1</Pages>
  <Words>4550</Words>
  <Characters>25936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30426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P298 DAR Abandonment</dc:title>
  <dc:creator/>
  <cp:lastModifiedBy/>
  <cp:revision>1</cp:revision>
  <dcterms:created xsi:type="dcterms:W3CDTF">2016-06-27T05:19:00Z</dcterms:created>
  <dcterms:modified xsi:type="dcterms:W3CDTF">2016-06-27T05:20:00Z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